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86" w:rsidRDefault="000B3286" w:rsidP="000B3286">
      <w:pPr>
        <w:widowControl w:val="0"/>
        <w:autoSpaceDE w:val="0"/>
        <w:autoSpaceDN w:val="0"/>
        <w:adjustRightInd w:val="0"/>
      </w:pPr>
      <w:bookmarkStart w:id="0" w:name="_GoBack"/>
      <w:bookmarkEnd w:id="0"/>
    </w:p>
    <w:p w:rsidR="000B3286" w:rsidRDefault="000B3286" w:rsidP="000B3286">
      <w:pPr>
        <w:widowControl w:val="0"/>
        <w:autoSpaceDE w:val="0"/>
        <w:autoSpaceDN w:val="0"/>
        <w:adjustRightInd w:val="0"/>
      </w:pPr>
      <w:r>
        <w:rPr>
          <w:b/>
          <w:bCs/>
        </w:rPr>
        <w:t>Section 1296.40  Period of Time</w:t>
      </w:r>
      <w:r>
        <w:t xml:space="preserve"> </w:t>
      </w:r>
    </w:p>
    <w:p w:rsidR="000B3286" w:rsidRDefault="000B3286" w:rsidP="000B3286">
      <w:pPr>
        <w:widowControl w:val="0"/>
        <w:autoSpaceDE w:val="0"/>
        <w:autoSpaceDN w:val="0"/>
        <w:adjustRightInd w:val="0"/>
      </w:pPr>
    </w:p>
    <w:p w:rsidR="000B3286" w:rsidRDefault="000B3286" w:rsidP="000B3286">
      <w:pPr>
        <w:widowControl w:val="0"/>
        <w:autoSpaceDE w:val="0"/>
        <w:autoSpaceDN w:val="0"/>
        <w:adjustRightInd w:val="0"/>
      </w:pPr>
      <w:r>
        <w:t xml:space="preserve">Prior notification issued under 720 ILCS 5/14-3(g) shall authorize a law enforcement agency to use any device for the interception or recording during the time period specified in the prior notification, not to exceed ten days, or for ten days from the date and time the initial prior notification was issued if no interception time period is stated in the prior notification.  If the continuing use of a device is required beyond the specified interception period in the initial prior notification, or if the use exceeds ten days and no time period was specified, the law enforcement agency shall issue subsequent notifications to the State's Attorney extending the interception or recording time period in accordance with the prior notification procedures established under the Act. </w:t>
      </w:r>
    </w:p>
    <w:sectPr w:rsidR="000B3286" w:rsidSect="000B32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286"/>
    <w:rsid w:val="000B3286"/>
    <w:rsid w:val="002A3D9E"/>
    <w:rsid w:val="005C3366"/>
    <w:rsid w:val="00DE20D4"/>
    <w:rsid w:val="00E5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1296</vt:lpstr>
    </vt:vector>
  </TitlesOfParts>
  <Company>General Assembly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1296</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