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39" w:rsidRDefault="002D5C39" w:rsidP="002D5C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5C39" w:rsidRDefault="002D5C39" w:rsidP="002D5C39">
      <w:pPr>
        <w:widowControl w:val="0"/>
        <w:autoSpaceDE w:val="0"/>
        <w:autoSpaceDN w:val="0"/>
        <w:adjustRightInd w:val="0"/>
      </w:pPr>
      <w:r>
        <w:t xml:space="preserve">SOURCE:  Emergency rules adopted at 2 Ill. Reg. 7, p. 3, effective February 1, 1978, for a maximum of 150 days; emergency rules adopted at 2 Ill. Reg. 44, p. 11, effective October 25, 1978, for a maximum of 150 days; adopted at 3 Ill. Reg. 1, p. 144, effective December 31, 1978; codified at 8 Ill. Reg. 211; amended at 9 Ill. Reg. 16257, effective October 10, 1985; amended at 13 Ill. Reg. 3063, effective February 28, 1989. </w:t>
      </w:r>
      <w:r>
        <w:tab/>
      </w:r>
    </w:p>
    <w:sectPr w:rsidR="002D5C39" w:rsidSect="002D5C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C39"/>
    <w:rsid w:val="002D5C39"/>
    <w:rsid w:val="005C3366"/>
    <w:rsid w:val="00894F2B"/>
    <w:rsid w:val="009D3295"/>
    <w:rsid w:val="00A6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 Ill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 Ill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