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54D" w:rsidRDefault="001F354D" w:rsidP="001F354D">
      <w:pPr>
        <w:widowControl w:val="0"/>
        <w:autoSpaceDE w:val="0"/>
        <w:autoSpaceDN w:val="0"/>
        <w:adjustRightInd w:val="0"/>
      </w:pPr>
      <w:bookmarkStart w:id="0" w:name="_GoBack"/>
      <w:bookmarkEnd w:id="0"/>
    </w:p>
    <w:p w:rsidR="001F354D" w:rsidRDefault="001F354D" w:rsidP="001F354D">
      <w:pPr>
        <w:widowControl w:val="0"/>
        <w:autoSpaceDE w:val="0"/>
        <w:autoSpaceDN w:val="0"/>
        <w:adjustRightInd w:val="0"/>
      </w:pPr>
      <w:r>
        <w:rPr>
          <w:b/>
          <w:bCs/>
        </w:rPr>
        <w:t>Section 1810.520  Cash Balances</w:t>
      </w:r>
      <w:r>
        <w:t xml:space="preserve"> </w:t>
      </w:r>
    </w:p>
    <w:p w:rsidR="001F354D" w:rsidRDefault="001F354D" w:rsidP="001F354D">
      <w:pPr>
        <w:widowControl w:val="0"/>
        <w:autoSpaceDE w:val="0"/>
        <w:autoSpaceDN w:val="0"/>
        <w:adjustRightInd w:val="0"/>
      </w:pPr>
    </w:p>
    <w:p w:rsidR="001F354D" w:rsidRDefault="001F354D" w:rsidP="001F354D">
      <w:pPr>
        <w:widowControl w:val="0"/>
        <w:autoSpaceDE w:val="0"/>
        <w:autoSpaceDN w:val="0"/>
        <w:adjustRightInd w:val="0"/>
      </w:pPr>
      <w:r>
        <w:t xml:space="preserve">Implementing entities shall request only the minimum amounts of cash necessary to pay their bills in a timely fashion.  The Council reserves the prerogative to adjust cash requests on the basis of reported expenditures and cash balance.  If the implementing entity anticipates an inordinate expenditure of implementing entity funds during a particular period, this expense should be explained on the monthly fiscal report. </w:t>
      </w:r>
    </w:p>
    <w:sectPr w:rsidR="001F354D" w:rsidSect="001F35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354D"/>
    <w:rsid w:val="001F354D"/>
    <w:rsid w:val="005C3366"/>
    <w:rsid w:val="006007AF"/>
    <w:rsid w:val="00BD68DA"/>
    <w:rsid w:val="00EE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