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1C" w:rsidRDefault="007F421C" w:rsidP="007F421C">
      <w:pPr>
        <w:widowControl w:val="0"/>
        <w:autoSpaceDE w:val="0"/>
        <w:autoSpaceDN w:val="0"/>
        <w:adjustRightInd w:val="0"/>
      </w:pPr>
      <w:bookmarkStart w:id="0" w:name="_GoBack"/>
      <w:bookmarkEnd w:id="0"/>
    </w:p>
    <w:p w:rsidR="007F421C" w:rsidRDefault="007F421C" w:rsidP="007F421C">
      <w:pPr>
        <w:widowControl w:val="0"/>
        <w:autoSpaceDE w:val="0"/>
        <w:autoSpaceDN w:val="0"/>
        <w:adjustRightInd w:val="0"/>
      </w:pPr>
      <w:r>
        <w:rPr>
          <w:b/>
          <w:bCs/>
        </w:rPr>
        <w:t>Section 125.90  Qualifications of Hearing Officer</w:t>
      </w:r>
      <w:r>
        <w:t xml:space="preserve"> </w:t>
      </w:r>
    </w:p>
    <w:p w:rsidR="007F421C" w:rsidRDefault="007F421C" w:rsidP="007F421C">
      <w:pPr>
        <w:widowControl w:val="0"/>
        <w:autoSpaceDE w:val="0"/>
        <w:autoSpaceDN w:val="0"/>
        <w:adjustRightInd w:val="0"/>
      </w:pPr>
    </w:p>
    <w:p w:rsidR="007F421C" w:rsidRDefault="007F421C" w:rsidP="007F421C">
      <w:pPr>
        <w:widowControl w:val="0"/>
        <w:autoSpaceDE w:val="0"/>
        <w:autoSpaceDN w:val="0"/>
        <w:adjustRightInd w:val="0"/>
      </w:pPr>
      <w:r>
        <w:t xml:space="preserve">Whenever possible a person appointed Hearing Officer for an adjudicatory proceeding conducted pursuant to this Part shall be a licensed attorney.  Unless all parties to the proceeding so stipulate, the Hearing Officer who conducted the closed preliminary hearing shall not conduct the public hearing. Closed preliminary hearings are deemed non-adjudicatory by this Part and by Section 125.245. </w:t>
      </w:r>
    </w:p>
    <w:p w:rsidR="007F421C" w:rsidRDefault="007F421C" w:rsidP="007F421C">
      <w:pPr>
        <w:widowControl w:val="0"/>
        <w:autoSpaceDE w:val="0"/>
        <w:autoSpaceDN w:val="0"/>
        <w:adjustRightInd w:val="0"/>
      </w:pPr>
    </w:p>
    <w:p w:rsidR="007F421C" w:rsidRPr="00D55B37" w:rsidRDefault="007F421C">
      <w:pPr>
        <w:pStyle w:val="JCARSourceNote"/>
        <w:ind w:left="720"/>
      </w:pPr>
      <w:r w:rsidRPr="00D55B37">
        <w:t xml:space="preserve">(Source:  </w:t>
      </w:r>
      <w:r>
        <w:t>Amended</w:t>
      </w:r>
      <w:r w:rsidRPr="00D55B37">
        <w:t xml:space="preserve"> at </w:t>
      </w:r>
      <w:r>
        <w:t>3</w:t>
      </w:r>
      <w:r w:rsidR="004F407C">
        <w:t>5</w:t>
      </w:r>
      <w:r>
        <w:t xml:space="preserve"> I</w:t>
      </w:r>
      <w:r w:rsidRPr="00D55B37">
        <w:t xml:space="preserve">ll. Reg. </w:t>
      </w:r>
      <w:r w:rsidR="00DF3D2D">
        <w:t>2351</w:t>
      </w:r>
      <w:r w:rsidRPr="00D55B37">
        <w:t xml:space="preserve">, effective </w:t>
      </w:r>
      <w:r w:rsidR="00DF3D2D">
        <w:t>February 4, 2011</w:t>
      </w:r>
      <w:r w:rsidRPr="00D55B37">
        <w:t>)</w:t>
      </w:r>
    </w:p>
    <w:sectPr w:rsidR="007F421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44" w:rsidRDefault="00391144">
      <w:r>
        <w:separator/>
      </w:r>
    </w:p>
  </w:endnote>
  <w:endnote w:type="continuationSeparator" w:id="0">
    <w:p w:rsidR="00391144" w:rsidRDefault="0039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44" w:rsidRDefault="00391144">
      <w:r>
        <w:separator/>
      </w:r>
    </w:p>
  </w:footnote>
  <w:footnote w:type="continuationSeparator" w:id="0">
    <w:p w:rsidR="00391144" w:rsidRDefault="0039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4D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4D6"/>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3BF"/>
    <w:rsid w:val="00356003"/>
    <w:rsid w:val="0036567B"/>
    <w:rsid w:val="00367A2E"/>
    <w:rsid w:val="00374367"/>
    <w:rsid w:val="00374639"/>
    <w:rsid w:val="00375C58"/>
    <w:rsid w:val="003760AD"/>
    <w:rsid w:val="00383A68"/>
    <w:rsid w:val="00385640"/>
    <w:rsid w:val="00391144"/>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407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3A15"/>
    <w:rsid w:val="007F421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DD3"/>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D2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488"/>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55818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