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D9" w:rsidRDefault="00AA59D9" w:rsidP="00AA59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59D9" w:rsidRDefault="00AA59D9" w:rsidP="00AA59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207.10  Failure to Nominate Candidate</w:t>
      </w:r>
      <w:r>
        <w:t xml:space="preserve"> </w:t>
      </w:r>
    </w:p>
    <w:p w:rsidR="00AA59D9" w:rsidRDefault="00AA59D9" w:rsidP="00AA59D9">
      <w:pPr>
        <w:widowControl w:val="0"/>
        <w:autoSpaceDE w:val="0"/>
        <w:autoSpaceDN w:val="0"/>
        <w:adjustRightInd w:val="0"/>
      </w:pPr>
    </w:p>
    <w:p w:rsidR="00AA59D9" w:rsidRDefault="00AA59D9" w:rsidP="00AA59D9">
      <w:pPr>
        <w:widowControl w:val="0"/>
        <w:autoSpaceDE w:val="0"/>
        <w:autoSpaceDN w:val="0"/>
        <w:adjustRightInd w:val="0"/>
      </w:pPr>
      <w:r>
        <w:t xml:space="preserve">Where an established political party and/or the members thereof fail to nominate a candidate for any office provided for in Article 7 of "The Election Code," this vacancy in nomination may be filled by the proper party committee of the political party, except candidates for Judicial office. </w:t>
      </w:r>
    </w:p>
    <w:p w:rsidR="00AA59D9" w:rsidRDefault="00AA59D9" w:rsidP="00AA59D9">
      <w:pPr>
        <w:widowControl w:val="0"/>
        <w:autoSpaceDE w:val="0"/>
        <w:autoSpaceDN w:val="0"/>
        <w:adjustRightInd w:val="0"/>
      </w:pPr>
    </w:p>
    <w:p w:rsidR="00AA59D9" w:rsidRDefault="00AA59D9" w:rsidP="00AA59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8976, effective July 12, 1982) </w:t>
      </w:r>
    </w:p>
    <w:sectPr w:rsidR="00AA59D9" w:rsidSect="00AA59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59D9"/>
    <w:rsid w:val="005C3366"/>
    <w:rsid w:val="006C0301"/>
    <w:rsid w:val="009570D8"/>
    <w:rsid w:val="00AA59D9"/>
    <w:rsid w:val="00D03E78"/>
    <w:rsid w:val="00F7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General Assembly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