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41" w:rsidRDefault="009A4941" w:rsidP="009A4941">
      <w:pPr>
        <w:widowControl w:val="0"/>
        <w:autoSpaceDE w:val="0"/>
        <w:autoSpaceDN w:val="0"/>
        <w:adjustRightInd w:val="0"/>
      </w:pPr>
      <w:bookmarkStart w:id="0" w:name="_GoBack"/>
      <w:bookmarkEnd w:id="0"/>
    </w:p>
    <w:p w:rsidR="009A4941" w:rsidRDefault="009A4941" w:rsidP="009A4941">
      <w:pPr>
        <w:widowControl w:val="0"/>
        <w:autoSpaceDE w:val="0"/>
        <w:autoSpaceDN w:val="0"/>
        <w:adjustRightInd w:val="0"/>
      </w:pPr>
      <w:r>
        <w:rPr>
          <w:b/>
          <w:bCs/>
        </w:rPr>
        <w:t>Section 209.20  Definitions</w:t>
      </w:r>
      <w:r>
        <w:t xml:space="preserve"> </w:t>
      </w:r>
    </w:p>
    <w:p w:rsidR="009A4941" w:rsidRDefault="009A4941" w:rsidP="009A4941">
      <w:pPr>
        <w:widowControl w:val="0"/>
        <w:autoSpaceDE w:val="0"/>
        <w:autoSpaceDN w:val="0"/>
        <w:adjustRightInd w:val="0"/>
      </w:pPr>
    </w:p>
    <w:p w:rsidR="009A4941" w:rsidRDefault="009A4941" w:rsidP="009A4941">
      <w:pPr>
        <w:widowControl w:val="0"/>
        <w:autoSpaceDE w:val="0"/>
        <w:autoSpaceDN w:val="0"/>
        <w:adjustRightInd w:val="0"/>
      </w:pPr>
      <w:r>
        <w:t xml:space="preserve">For the purpose of this rules, the following definitions shall apply: </w:t>
      </w:r>
    </w:p>
    <w:p w:rsidR="00C62FDE" w:rsidRDefault="00C62FDE" w:rsidP="009A4941">
      <w:pPr>
        <w:widowControl w:val="0"/>
        <w:autoSpaceDE w:val="0"/>
        <w:autoSpaceDN w:val="0"/>
        <w:adjustRightInd w:val="0"/>
      </w:pPr>
    </w:p>
    <w:p w:rsidR="009A4941" w:rsidRDefault="009A4941" w:rsidP="008B3DC5">
      <w:pPr>
        <w:widowControl w:val="0"/>
        <w:autoSpaceDE w:val="0"/>
        <w:autoSpaceDN w:val="0"/>
        <w:adjustRightInd w:val="0"/>
        <w:ind w:left="1440"/>
      </w:pPr>
      <w:r>
        <w:rPr>
          <w:i/>
          <w:iCs/>
        </w:rPr>
        <w:t>"Accessible" means "open to" or "available" as defined in Section 11-4.2 of the Act.</w:t>
      </w:r>
      <w:r>
        <w:t xml:space="preserve">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"Accessible Polling Place Facility" describes the combination of the various elements of the built environment as prescribed by this Part which allows entrance to, egress from and use of polling place facilities by handicapped and elderly voters.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"Accessible System of Registration" is one which is accessible to the handicapped and elderly as prescribed in this Part.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"Blend to a Common Level" refers to the meeting of two or more surfaces so that there is no abrupt vertical change in any of the surfaces which could create a tripping hazard or divert the direction of the caster wheels on a wheelchair.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"Built Environment" means a constructed surrounding.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"Circulation Route" means a continuous path of travel from the curb or parking area to the polling place building, into and through the polling place building to the voting area and includes both horizontal and vertical travel.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"Curb" means the inside boundary of the street, driveway or parking lot.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rPr>
          <w:i/>
          <w:iCs/>
        </w:rPr>
        <w:t>"Elderly" means any person who is 65 years of age or older</w:t>
      </w:r>
      <w:r>
        <w:t xml:space="preserve"> as defined in Section 1-3(19) of the Act.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"Exterior Circulation Route" means that part of a circulation route from the curb or parking area to the point of entry to the polling place building.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rPr>
          <w:i/>
          <w:iCs/>
        </w:rPr>
        <w:t>"Handicapped" means any person who has a temporary or permanent physical disability</w:t>
      </w:r>
      <w:r>
        <w:t xml:space="preserve"> as defined in Section 1-3(2) of the Act.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"Interior Circulation Route" means that part of a circulation route from the point of entry to the polling place building through the polling place building to the voting area. </w:t>
      </w:r>
    </w:p>
    <w:p w:rsidR="009A4941" w:rsidRDefault="009A4941" w:rsidP="009A4941">
      <w:pPr>
        <w:widowControl w:val="0"/>
        <w:autoSpaceDE w:val="0"/>
        <w:autoSpaceDN w:val="0"/>
        <w:adjustRightInd w:val="0"/>
        <w:ind w:left="1440" w:hanging="720"/>
      </w:pPr>
    </w:p>
    <w:p w:rsidR="009A4941" w:rsidRDefault="009A4941" w:rsidP="008B3DC5">
      <w:pPr>
        <w:widowControl w:val="0"/>
        <w:autoSpaceDE w:val="0"/>
        <w:autoSpaceDN w:val="0"/>
        <w:adjustRightInd w:val="0"/>
        <w:ind w:left="1440"/>
      </w:pPr>
      <w:r>
        <w:t xml:space="preserve">"Passenger Loading Zone" is a place specifically provided outside of the vehicular traffic flow designed for the drop-off of pick-up of passengers from vehicles. </w:t>
      </w:r>
    </w:p>
    <w:sectPr w:rsidR="009A4941" w:rsidSect="009A49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4941"/>
    <w:rsid w:val="005C3366"/>
    <w:rsid w:val="008B3DC5"/>
    <w:rsid w:val="008C404D"/>
    <w:rsid w:val="008E508A"/>
    <w:rsid w:val="009A4941"/>
    <w:rsid w:val="00C62FDE"/>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209</vt:lpstr>
    </vt:vector>
  </TitlesOfParts>
  <Company>General Assembly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