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EB" w:rsidRDefault="00E47DEB" w:rsidP="00E47D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DEB" w:rsidRDefault="00E47DEB" w:rsidP="00E47DEB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C447A0">
        <w:t>the Raffles Act [</w:t>
      </w:r>
      <w:r w:rsidR="00007B24">
        <w:t>230 ILCS 15</w:t>
      </w:r>
      <w:r w:rsidR="00C447A0">
        <w:t>]</w:t>
      </w:r>
      <w:r w:rsidR="00007B24">
        <w:t>.</w:t>
      </w:r>
      <w:r>
        <w:t xml:space="preserve"> </w:t>
      </w:r>
    </w:p>
    <w:sectPr w:rsidR="00E47DEB" w:rsidSect="00E47D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DEB"/>
    <w:rsid w:val="00007B24"/>
    <w:rsid w:val="00020918"/>
    <w:rsid w:val="00127388"/>
    <w:rsid w:val="001614F6"/>
    <w:rsid w:val="005C3366"/>
    <w:rsid w:val="00C447A0"/>
    <w:rsid w:val="00D52BB6"/>
    <w:rsid w:val="00E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"AN ACT to provide for licensing and regulating certain games of chance and amendin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"AN ACT to provide for licensing and regulating certain games of chance and amendin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