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9A" w:rsidRDefault="0062399A" w:rsidP="006239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99A" w:rsidRDefault="0062399A" w:rsidP="0062399A">
      <w:pPr>
        <w:widowControl w:val="0"/>
        <w:autoSpaceDE w:val="0"/>
        <w:autoSpaceDN w:val="0"/>
        <w:adjustRightInd w:val="0"/>
      </w:pPr>
      <w:r>
        <w:t>SOURCE:  Adopted by emergency rule at 21 Ill. Reg. 14247, effective October 22, 1996, for a maximum of 150 days; emergency expired March 21, 1997; adopted at 21 Ill. Reg. 4610, effective March 31, 1997; amended at 22 Ill. Reg. 19330, effective October 15, 1998; amended at 23 Ill. Reg. 3</w:t>
      </w:r>
      <w:r w:rsidR="00D26920">
        <w:t xml:space="preserve">948, effective March 19, 1999. </w:t>
      </w:r>
    </w:p>
    <w:sectPr w:rsidR="0062399A" w:rsidSect="006239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99A"/>
    <w:rsid w:val="0027195E"/>
    <w:rsid w:val="005C3366"/>
    <w:rsid w:val="0062399A"/>
    <w:rsid w:val="00842E51"/>
    <w:rsid w:val="008C501E"/>
    <w:rsid w:val="00D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 at 21 Ill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 at 21 Ill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