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24" w:rsidRDefault="00B25F24" w:rsidP="00B25F24">
      <w:pPr>
        <w:widowControl w:val="0"/>
        <w:autoSpaceDE w:val="0"/>
        <w:autoSpaceDN w:val="0"/>
        <w:adjustRightInd w:val="0"/>
      </w:pPr>
      <w:bookmarkStart w:id="0" w:name="_GoBack"/>
      <w:bookmarkEnd w:id="0"/>
    </w:p>
    <w:p w:rsidR="00B25F24" w:rsidRDefault="00B25F24" w:rsidP="00B25F24">
      <w:pPr>
        <w:widowControl w:val="0"/>
        <w:autoSpaceDE w:val="0"/>
        <w:autoSpaceDN w:val="0"/>
        <w:adjustRightInd w:val="0"/>
      </w:pPr>
      <w:r>
        <w:rPr>
          <w:b/>
          <w:bCs/>
        </w:rPr>
        <w:t>Section 310.140  Units of Exposure and Radiation Dose</w:t>
      </w:r>
      <w:r>
        <w:t xml:space="preserve"> </w:t>
      </w:r>
    </w:p>
    <w:p w:rsidR="00B25F24" w:rsidRDefault="00B25F24" w:rsidP="00B25F24">
      <w:pPr>
        <w:widowControl w:val="0"/>
        <w:autoSpaceDE w:val="0"/>
        <w:autoSpaceDN w:val="0"/>
        <w:adjustRightInd w:val="0"/>
      </w:pPr>
    </w:p>
    <w:p w:rsidR="00B25F24" w:rsidRDefault="00B25F24" w:rsidP="00B25F24">
      <w:pPr>
        <w:widowControl w:val="0"/>
        <w:autoSpaceDE w:val="0"/>
        <w:autoSpaceDN w:val="0"/>
        <w:adjustRightInd w:val="0"/>
        <w:ind w:left="1440" w:hanging="720"/>
      </w:pPr>
      <w:r>
        <w:t>a)</w:t>
      </w:r>
      <w:r>
        <w:tab/>
        <w:t>As used in 32 Ill. Adm. Code:  Chapter II, Subchapters b and d, the unit of exposure is the coulomb per kilogram (C/kg) or roentgen (R). One roentgen (R) is equal to 2.58 x 10</w:t>
      </w:r>
      <w:r w:rsidRPr="005049EC">
        <w:rPr>
          <w:vertAlign w:val="superscript"/>
        </w:rPr>
        <w:t>-4</w:t>
      </w:r>
      <w:r>
        <w:t xml:space="preserve"> C/kg. </w:t>
      </w:r>
    </w:p>
    <w:p w:rsidR="00CA6311" w:rsidRDefault="00CA6311" w:rsidP="00B25F24">
      <w:pPr>
        <w:widowControl w:val="0"/>
        <w:autoSpaceDE w:val="0"/>
        <w:autoSpaceDN w:val="0"/>
        <w:adjustRightInd w:val="0"/>
        <w:ind w:left="1440" w:hanging="720"/>
      </w:pPr>
    </w:p>
    <w:p w:rsidR="00B25F24" w:rsidRDefault="00B25F24" w:rsidP="00B25F24">
      <w:pPr>
        <w:widowControl w:val="0"/>
        <w:autoSpaceDE w:val="0"/>
        <w:autoSpaceDN w:val="0"/>
        <w:adjustRightInd w:val="0"/>
        <w:ind w:left="1440" w:hanging="720"/>
      </w:pPr>
      <w:r>
        <w:t>b)</w:t>
      </w:r>
      <w:r>
        <w:tab/>
        <w:t xml:space="preserve">As used in 32 Ill. Adm. Code:  Chapter II, Subchapters b and d, the units of radiation dose are: </w:t>
      </w:r>
    </w:p>
    <w:p w:rsidR="00CA6311" w:rsidRDefault="00CA6311" w:rsidP="00B25F24">
      <w:pPr>
        <w:widowControl w:val="0"/>
        <w:autoSpaceDE w:val="0"/>
        <w:autoSpaceDN w:val="0"/>
        <w:adjustRightInd w:val="0"/>
        <w:ind w:left="2160" w:hanging="720"/>
      </w:pPr>
    </w:p>
    <w:p w:rsidR="00B25F24" w:rsidRDefault="00B25F24" w:rsidP="00B25F24">
      <w:pPr>
        <w:widowControl w:val="0"/>
        <w:autoSpaceDE w:val="0"/>
        <w:autoSpaceDN w:val="0"/>
        <w:adjustRightInd w:val="0"/>
        <w:ind w:left="2160" w:hanging="720"/>
      </w:pPr>
      <w:r>
        <w:t>1)</w:t>
      </w:r>
      <w:r>
        <w:tab/>
        <w:t>"Gray" (</w:t>
      </w:r>
      <w:proofErr w:type="spellStart"/>
      <w:r>
        <w:t>Gy</w:t>
      </w:r>
      <w:proofErr w:type="spellEnd"/>
      <w:r>
        <w:t xml:space="preserve">) is the SI unit of absorbed dose.  One </w:t>
      </w:r>
      <w:proofErr w:type="spellStart"/>
      <w:r>
        <w:t>Gy</w:t>
      </w:r>
      <w:proofErr w:type="spellEnd"/>
      <w:r>
        <w:t xml:space="preserve"> is equal to an absorbed dose of 1 joule per kilogram (J/kg).  (1 </w:t>
      </w:r>
      <w:proofErr w:type="spellStart"/>
      <w:r>
        <w:t>Gy</w:t>
      </w:r>
      <w:proofErr w:type="spellEnd"/>
      <w:r>
        <w:t xml:space="preserve"> = 100 rad). </w:t>
      </w:r>
    </w:p>
    <w:p w:rsidR="00CA6311" w:rsidRDefault="00CA6311" w:rsidP="00B25F24">
      <w:pPr>
        <w:widowControl w:val="0"/>
        <w:autoSpaceDE w:val="0"/>
        <w:autoSpaceDN w:val="0"/>
        <w:adjustRightInd w:val="0"/>
        <w:ind w:left="2160" w:hanging="720"/>
      </w:pPr>
    </w:p>
    <w:p w:rsidR="00B25F24" w:rsidRDefault="00B25F24" w:rsidP="00B25F24">
      <w:pPr>
        <w:widowControl w:val="0"/>
        <w:autoSpaceDE w:val="0"/>
        <w:autoSpaceDN w:val="0"/>
        <w:adjustRightInd w:val="0"/>
        <w:ind w:left="2160" w:hanging="720"/>
      </w:pPr>
      <w:r>
        <w:t>2)</w:t>
      </w:r>
      <w:r>
        <w:tab/>
        <w:t xml:space="preserve">"Rad" is the special unit of absorbed dose.  One rad is equal to an absorbed dose of 100 ergs per gram or 0.01 joule per kilogram (J/kg).  (1 rad = 0.01 </w:t>
      </w:r>
      <w:proofErr w:type="spellStart"/>
      <w:r>
        <w:t>Gy</w:t>
      </w:r>
      <w:proofErr w:type="spellEnd"/>
      <w:r>
        <w:t xml:space="preserve">). </w:t>
      </w:r>
    </w:p>
    <w:p w:rsidR="00CA6311" w:rsidRDefault="00CA6311" w:rsidP="00B25F24">
      <w:pPr>
        <w:widowControl w:val="0"/>
        <w:autoSpaceDE w:val="0"/>
        <w:autoSpaceDN w:val="0"/>
        <w:adjustRightInd w:val="0"/>
        <w:ind w:left="2160" w:hanging="720"/>
      </w:pPr>
    </w:p>
    <w:p w:rsidR="00B25F24" w:rsidRDefault="00B25F24" w:rsidP="00B25F24">
      <w:pPr>
        <w:widowControl w:val="0"/>
        <w:autoSpaceDE w:val="0"/>
        <w:autoSpaceDN w:val="0"/>
        <w:adjustRightInd w:val="0"/>
        <w:ind w:left="2160" w:hanging="720"/>
      </w:pPr>
      <w:r>
        <w:t>3)</w:t>
      </w:r>
      <w:r>
        <w:tab/>
        <w:t xml:space="preserve">"Rem" is the special unit of any of the quantities expressed as dose equivalent.  The dose equivalent in rem is equal to the absorbed dose in rad multiplied by the quality factor (1 rem = 0.01 </w:t>
      </w:r>
      <w:proofErr w:type="spellStart"/>
      <w:r>
        <w:t>Sv</w:t>
      </w:r>
      <w:proofErr w:type="spellEnd"/>
      <w:r>
        <w:t xml:space="preserve">). </w:t>
      </w:r>
    </w:p>
    <w:p w:rsidR="00CA6311" w:rsidRDefault="00CA6311" w:rsidP="00B25F24">
      <w:pPr>
        <w:widowControl w:val="0"/>
        <w:autoSpaceDE w:val="0"/>
        <w:autoSpaceDN w:val="0"/>
        <w:adjustRightInd w:val="0"/>
        <w:ind w:left="2160" w:hanging="720"/>
      </w:pPr>
    </w:p>
    <w:p w:rsidR="00B25F24" w:rsidRDefault="00B25F24" w:rsidP="00B25F24">
      <w:pPr>
        <w:widowControl w:val="0"/>
        <w:autoSpaceDE w:val="0"/>
        <w:autoSpaceDN w:val="0"/>
        <w:adjustRightInd w:val="0"/>
        <w:ind w:left="2160" w:hanging="720"/>
      </w:pPr>
      <w:r>
        <w:t>4)</w:t>
      </w:r>
      <w:r>
        <w:tab/>
        <w:t>"Sievert" (</w:t>
      </w:r>
      <w:proofErr w:type="spellStart"/>
      <w:r>
        <w:t>Sv</w:t>
      </w:r>
      <w:proofErr w:type="spellEnd"/>
      <w:r>
        <w:t xml:space="preserve">) is the SI unit of any of the quantities expressed as dose equivalent.  The dose equivalent in </w:t>
      </w:r>
      <w:proofErr w:type="spellStart"/>
      <w:r>
        <w:t>sievert</w:t>
      </w:r>
      <w:proofErr w:type="spellEnd"/>
      <w:r>
        <w:t xml:space="preserve"> is equal to the absorbed dose in gray multiplied by the quality factor (1 </w:t>
      </w:r>
      <w:proofErr w:type="spellStart"/>
      <w:r>
        <w:t>Sv</w:t>
      </w:r>
      <w:proofErr w:type="spellEnd"/>
      <w:r>
        <w:t xml:space="preserve"> = 100 rem). </w:t>
      </w:r>
    </w:p>
    <w:p w:rsidR="00CA6311" w:rsidRDefault="00CA6311" w:rsidP="00B25F24">
      <w:pPr>
        <w:widowControl w:val="0"/>
        <w:autoSpaceDE w:val="0"/>
        <w:autoSpaceDN w:val="0"/>
        <w:adjustRightInd w:val="0"/>
        <w:ind w:left="1440" w:hanging="720"/>
      </w:pPr>
    </w:p>
    <w:p w:rsidR="00B25F24" w:rsidRDefault="00B25F24" w:rsidP="00B25F24">
      <w:pPr>
        <w:widowControl w:val="0"/>
        <w:autoSpaceDE w:val="0"/>
        <w:autoSpaceDN w:val="0"/>
        <w:adjustRightInd w:val="0"/>
        <w:ind w:left="1440" w:hanging="720"/>
      </w:pPr>
      <w:r>
        <w:t>c)</w:t>
      </w:r>
      <w:r>
        <w:tab/>
        <w:t xml:space="preserve">As used in 32 Ill. Adm. Code:  Chapter II, Subchapters b and d, the quality factors for converting absorbed dose to dose equivalent are as follows: </w:t>
      </w:r>
    </w:p>
    <w:p w:rsidR="00B25F24" w:rsidRDefault="00B25F24" w:rsidP="00B25F24">
      <w:pPr>
        <w:widowControl w:val="0"/>
        <w:autoSpaceDE w:val="0"/>
        <w:autoSpaceDN w:val="0"/>
        <w:adjustRightInd w:val="0"/>
        <w:ind w:left="2160" w:hanging="720"/>
      </w:pPr>
    </w:p>
    <w:tbl>
      <w:tblPr>
        <w:tblW w:w="0" w:type="auto"/>
        <w:tblInd w:w="1533" w:type="dxa"/>
        <w:tblLook w:val="0000" w:firstRow="0" w:lastRow="0" w:firstColumn="0" w:lastColumn="0" w:noHBand="0" w:noVBand="0"/>
      </w:tblPr>
      <w:tblGrid>
        <w:gridCol w:w="3534"/>
        <w:gridCol w:w="2337"/>
        <w:gridCol w:w="2172"/>
      </w:tblGrid>
      <w:tr w:rsidR="005049EC">
        <w:tblPrEx>
          <w:tblCellMar>
            <w:top w:w="0" w:type="dxa"/>
            <w:bottom w:w="0" w:type="dxa"/>
          </w:tblCellMar>
        </w:tblPrEx>
        <w:trPr>
          <w:trHeight w:val="1205"/>
        </w:trPr>
        <w:tc>
          <w:tcPr>
            <w:tcW w:w="3534" w:type="dxa"/>
            <w:tcBorders>
              <w:top w:val="single" w:sz="4" w:space="0" w:color="auto"/>
              <w:bottom w:val="single" w:sz="4" w:space="0" w:color="auto"/>
            </w:tcBorders>
            <w:vAlign w:val="center"/>
          </w:tcPr>
          <w:p w:rsidR="005049EC" w:rsidRDefault="005049EC" w:rsidP="00B25F24">
            <w:pPr>
              <w:widowControl w:val="0"/>
              <w:autoSpaceDE w:val="0"/>
              <w:autoSpaceDN w:val="0"/>
              <w:adjustRightInd w:val="0"/>
            </w:pPr>
            <w:r>
              <w:t>Type of Radiation</w:t>
            </w:r>
          </w:p>
        </w:tc>
        <w:tc>
          <w:tcPr>
            <w:tcW w:w="2337" w:type="dxa"/>
            <w:tcBorders>
              <w:top w:val="single" w:sz="4" w:space="0" w:color="auto"/>
              <w:bottom w:val="single" w:sz="4" w:space="0" w:color="auto"/>
            </w:tcBorders>
            <w:vAlign w:val="center"/>
          </w:tcPr>
          <w:p w:rsidR="005049EC" w:rsidRDefault="005049EC" w:rsidP="00B25F24">
            <w:pPr>
              <w:widowControl w:val="0"/>
              <w:autoSpaceDE w:val="0"/>
              <w:autoSpaceDN w:val="0"/>
              <w:adjustRightInd w:val="0"/>
            </w:pPr>
            <w:r>
              <w:t>Quality Factor (Q)</w:t>
            </w:r>
          </w:p>
        </w:tc>
        <w:tc>
          <w:tcPr>
            <w:tcW w:w="2172" w:type="dxa"/>
            <w:tcBorders>
              <w:top w:val="single" w:sz="4" w:space="0" w:color="auto"/>
              <w:bottom w:val="single" w:sz="4" w:space="0" w:color="auto"/>
            </w:tcBorders>
            <w:vAlign w:val="center"/>
          </w:tcPr>
          <w:p w:rsidR="005049EC" w:rsidRPr="005049EC" w:rsidRDefault="005049EC" w:rsidP="00B25F24">
            <w:pPr>
              <w:widowControl w:val="0"/>
              <w:autoSpaceDE w:val="0"/>
              <w:autoSpaceDN w:val="0"/>
              <w:adjustRightInd w:val="0"/>
              <w:rPr>
                <w:vertAlign w:val="superscript"/>
              </w:rPr>
            </w:pPr>
            <w:r>
              <w:t xml:space="preserve">Absorbed Dose Equal to a Unit Dose </w:t>
            </w:r>
            <w:proofErr w:type="spellStart"/>
            <w:r>
              <w:t>Equivalent</w:t>
            </w:r>
            <w:r>
              <w:rPr>
                <w:vertAlign w:val="superscript"/>
              </w:rPr>
              <w:t>a</w:t>
            </w:r>
            <w:proofErr w:type="spellEnd"/>
          </w:p>
        </w:tc>
      </w:tr>
      <w:tr w:rsidR="005049EC">
        <w:tblPrEx>
          <w:tblCellMar>
            <w:top w:w="0" w:type="dxa"/>
            <w:bottom w:w="0" w:type="dxa"/>
          </w:tblCellMar>
        </w:tblPrEx>
        <w:trPr>
          <w:trHeight w:val="647"/>
        </w:trPr>
        <w:tc>
          <w:tcPr>
            <w:tcW w:w="3534" w:type="dxa"/>
            <w:vAlign w:val="bottom"/>
          </w:tcPr>
          <w:p w:rsidR="005049EC" w:rsidRDefault="005049EC" w:rsidP="00B25F24">
            <w:pPr>
              <w:widowControl w:val="0"/>
              <w:autoSpaceDE w:val="0"/>
              <w:autoSpaceDN w:val="0"/>
              <w:adjustRightInd w:val="0"/>
            </w:pPr>
            <w:r>
              <w:t>X, gamma or beta radiation and high-speed electrons</w:t>
            </w:r>
          </w:p>
        </w:tc>
        <w:tc>
          <w:tcPr>
            <w:tcW w:w="2337" w:type="dxa"/>
            <w:vAlign w:val="bottom"/>
          </w:tcPr>
          <w:p w:rsidR="005049EC" w:rsidRDefault="005049EC" w:rsidP="005049EC">
            <w:pPr>
              <w:widowControl w:val="0"/>
              <w:autoSpaceDE w:val="0"/>
              <w:autoSpaceDN w:val="0"/>
              <w:adjustRightInd w:val="0"/>
              <w:jc w:val="center"/>
            </w:pPr>
            <w:r>
              <w:t>1</w:t>
            </w:r>
          </w:p>
        </w:tc>
        <w:tc>
          <w:tcPr>
            <w:tcW w:w="2172" w:type="dxa"/>
            <w:vAlign w:val="bottom"/>
          </w:tcPr>
          <w:p w:rsidR="005049EC" w:rsidRDefault="005049EC" w:rsidP="005049EC">
            <w:pPr>
              <w:widowControl w:val="0"/>
              <w:autoSpaceDE w:val="0"/>
              <w:autoSpaceDN w:val="0"/>
              <w:adjustRightInd w:val="0"/>
              <w:jc w:val="center"/>
            </w:pPr>
            <w:r>
              <w:t>1</w:t>
            </w:r>
          </w:p>
        </w:tc>
      </w:tr>
      <w:tr w:rsidR="005049EC">
        <w:tblPrEx>
          <w:tblCellMar>
            <w:top w:w="0" w:type="dxa"/>
            <w:bottom w:w="0" w:type="dxa"/>
          </w:tblCellMar>
        </w:tblPrEx>
        <w:trPr>
          <w:trHeight w:val="1278"/>
        </w:trPr>
        <w:tc>
          <w:tcPr>
            <w:tcW w:w="3534" w:type="dxa"/>
            <w:vAlign w:val="bottom"/>
          </w:tcPr>
          <w:p w:rsidR="005049EC" w:rsidRDefault="005049EC" w:rsidP="00B25F24">
            <w:pPr>
              <w:widowControl w:val="0"/>
              <w:autoSpaceDE w:val="0"/>
              <w:autoSpaceDN w:val="0"/>
              <w:adjustRightInd w:val="0"/>
            </w:pPr>
            <w:r>
              <w:t>Alpha particles, multiple-charged particles, fission fragments and heavy particles of unknown charge</w:t>
            </w:r>
          </w:p>
        </w:tc>
        <w:tc>
          <w:tcPr>
            <w:tcW w:w="2337" w:type="dxa"/>
            <w:vAlign w:val="bottom"/>
          </w:tcPr>
          <w:p w:rsidR="005049EC" w:rsidRDefault="005049EC" w:rsidP="005049EC">
            <w:pPr>
              <w:widowControl w:val="0"/>
              <w:autoSpaceDE w:val="0"/>
              <w:autoSpaceDN w:val="0"/>
              <w:adjustRightInd w:val="0"/>
              <w:jc w:val="center"/>
            </w:pPr>
            <w:r>
              <w:t>20</w:t>
            </w:r>
          </w:p>
        </w:tc>
        <w:tc>
          <w:tcPr>
            <w:tcW w:w="2172" w:type="dxa"/>
            <w:vAlign w:val="bottom"/>
          </w:tcPr>
          <w:p w:rsidR="005049EC" w:rsidRDefault="005049EC" w:rsidP="005049EC">
            <w:pPr>
              <w:widowControl w:val="0"/>
              <w:autoSpaceDE w:val="0"/>
              <w:autoSpaceDN w:val="0"/>
              <w:adjustRightInd w:val="0"/>
              <w:jc w:val="center"/>
            </w:pPr>
            <w:r>
              <w:t>0.05</w:t>
            </w:r>
          </w:p>
        </w:tc>
      </w:tr>
      <w:tr w:rsidR="005049EC">
        <w:tblPrEx>
          <w:tblCellMar>
            <w:top w:w="0" w:type="dxa"/>
            <w:bottom w:w="0" w:type="dxa"/>
          </w:tblCellMar>
        </w:tblPrEx>
        <w:trPr>
          <w:trHeight w:val="405"/>
        </w:trPr>
        <w:tc>
          <w:tcPr>
            <w:tcW w:w="3534" w:type="dxa"/>
            <w:vAlign w:val="bottom"/>
          </w:tcPr>
          <w:p w:rsidR="005049EC" w:rsidRDefault="005049EC" w:rsidP="00B25F24">
            <w:pPr>
              <w:widowControl w:val="0"/>
              <w:autoSpaceDE w:val="0"/>
              <w:autoSpaceDN w:val="0"/>
              <w:adjustRightInd w:val="0"/>
            </w:pPr>
            <w:r>
              <w:t>Neutrons of unknown energy</w:t>
            </w:r>
          </w:p>
        </w:tc>
        <w:tc>
          <w:tcPr>
            <w:tcW w:w="2337" w:type="dxa"/>
            <w:vAlign w:val="bottom"/>
          </w:tcPr>
          <w:p w:rsidR="005049EC" w:rsidRDefault="005049EC" w:rsidP="005049EC">
            <w:pPr>
              <w:widowControl w:val="0"/>
              <w:autoSpaceDE w:val="0"/>
              <w:autoSpaceDN w:val="0"/>
              <w:adjustRightInd w:val="0"/>
              <w:jc w:val="center"/>
            </w:pPr>
            <w:r>
              <w:t>10</w:t>
            </w:r>
          </w:p>
        </w:tc>
        <w:tc>
          <w:tcPr>
            <w:tcW w:w="2172" w:type="dxa"/>
            <w:vAlign w:val="bottom"/>
          </w:tcPr>
          <w:p w:rsidR="005049EC" w:rsidRDefault="005049EC" w:rsidP="005049EC">
            <w:pPr>
              <w:widowControl w:val="0"/>
              <w:autoSpaceDE w:val="0"/>
              <w:autoSpaceDN w:val="0"/>
              <w:adjustRightInd w:val="0"/>
              <w:jc w:val="center"/>
            </w:pPr>
            <w:r>
              <w:t>0.1</w:t>
            </w:r>
          </w:p>
        </w:tc>
      </w:tr>
      <w:tr w:rsidR="005049EC">
        <w:tblPrEx>
          <w:tblCellMar>
            <w:top w:w="0" w:type="dxa"/>
            <w:bottom w:w="0" w:type="dxa"/>
          </w:tblCellMar>
        </w:tblPrEx>
        <w:trPr>
          <w:trHeight w:val="648"/>
        </w:trPr>
        <w:tc>
          <w:tcPr>
            <w:tcW w:w="3534" w:type="dxa"/>
            <w:tcBorders>
              <w:bottom w:val="single" w:sz="4" w:space="0" w:color="auto"/>
            </w:tcBorders>
            <w:vAlign w:val="center"/>
          </w:tcPr>
          <w:p w:rsidR="005049EC" w:rsidRDefault="005049EC" w:rsidP="00B25F24">
            <w:pPr>
              <w:widowControl w:val="0"/>
              <w:autoSpaceDE w:val="0"/>
              <w:autoSpaceDN w:val="0"/>
              <w:adjustRightInd w:val="0"/>
            </w:pPr>
            <w:r>
              <w:t>High-energy protons</w:t>
            </w:r>
          </w:p>
        </w:tc>
        <w:tc>
          <w:tcPr>
            <w:tcW w:w="2337" w:type="dxa"/>
            <w:tcBorders>
              <w:bottom w:val="single" w:sz="4" w:space="0" w:color="auto"/>
            </w:tcBorders>
            <w:vAlign w:val="center"/>
          </w:tcPr>
          <w:p w:rsidR="005049EC" w:rsidRDefault="005049EC" w:rsidP="005049EC">
            <w:pPr>
              <w:widowControl w:val="0"/>
              <w:autoSpaceDE w:val="0"/>
              <w:autoSpaceDN w:val="0"/>
              <w:adjustRightInd w:val="0"/>
              <w:jc w:val="center"/>
            </w:pPr>
            <w:r>
              <w:t>10</w:t>
            </w:r>
          </w:p>
        </w:tc>
        <w:tc>
          <w:tcPr>
            <w:tcW w:w="2172" w:type="dxa"/>
            <w:tcBorders>
              <w:bottom w:val="single" w:sz="4" w:space="0" w:color="auto"/>
            </w:tcBorders>
            <w:vAlign w:val="center"/>
          </w:tcPr>
          <w:p w:rsidR="005049EC" w:rsidRDefault="005049EC" w:rsidP="005049EC">
            <w:pPr>
              <w:widowControl w:val="0"/>
              <w:autoSpaceDE w:val="0"/>
              <w:autoSpaceDN w:val="0"/>
              <w:adjustRightInd w:val="0"/>
              <w:jc w:val="center"/>
            </w:pPr>
            <w:r>
              <w:t>0.1</w:t>
            </w:r>
          </w:p>
        </w:tc>
      </w:tr>
      <w:tr w:rsidR="005049EC">
        <w:tblPrEx>
          <w:tblCellMar>
            <w:top w:w="0" w:type="dxa"/>
            <w:bottom w:w="0" w:type="dxa"/>
          </w:tblCellMar>
        </w:tblPrEx>
        <w:trPr>
          <w:trHeight w:val="665"/>
        </w:trPr>
        <w:tc>
          <w:tcPr>
            <w:tcW w:w="8043" w:type="dxa"/>
            <w:gridSpan w:val="3"/>
            <w:tcBorders>
              <w:top w:val="single" w:sz="4" w:space="0" w:color="auto"/>
            </w:tcBorders>
            <w:vAlign w:val="bottom"/>
          </w:tcPr>
          <w:p w:rsidR="005049EC" w:rsidRDefault="005049EC" w:rsidP="00D74439">
            <w:pPr>
              <w:widowControl w:val="0"/>
              <w:autoSpaceDE w:val="0"/>
              <w:autoSpaceDN w:val="0"/>
              <w:adjustRightInd w:val="0"/>
              <w:ind w:left="576" w:hanging="171"/>
            </w:pPr>
            <w:r>
              <w:rPr>
                <w:vertAlign w:val="superscript"/>
              </w:rPr>
              <w:t>a</w:t>
            </w:r>
            <w:r w:rsidR="00D74439">
              <w:tab/>
            </w:r>
            <w:r>
              <w:t xml:space="preserve">Absorbed dose in gray equal to 1 </w:t>
            </w:r>
            <w:proofErr w:type="spellStart"/>
            <w:r>
              <w:t>Sv</w:t>
            </w:r>
            <w:proofErr w:type="spellEnd"/>
            <w:r>
              <w:t xml:space="preserve"> or the absorbed dose in rad equal to 1 rem.</w:t>
            </w:r>
          </w:p>
        </w:tc>
      </w:tr>
    </w:tbl>
    <w:p w:rsidR="005049EC" w:rsidRDefault="005049EC" w:rsidP="00B25F24">
      <w:pPr>
        <w:widowControl w:val="0"/>
        <w:autoSpaceDE w:val="0"/>
        <w:autoSpaceDN w:val="0"/>
        <w:adjustRightInd w:val="0"/>
        <w:ind w:left="2160" w:hanging="720"/>
      </w:pPr>
    </w:p>
    <w:p w:rsidR="00CA6311" w:rsidRDefault="00CA6311" w:rsidP="00B25F24">
      <w:pPr>
        <w:widowControl w:val="0"/>
        <w:autoSpaceDE w:val="0"/>
        <w:autoSpaceDN w:val="0"/>
        <w:adjustRightInd w:val="0"/>
        <w:ind w:left="1440" w:hanging="720"/>
      </w:pPr>
    </w:p>
    <w:p w:rsidR="00B25F24" w:rsidRDefault="00B25F24" w:rsidP="00B25F24">
      <w:pPr>
        <w:widowControl w:val="0"/>
        <w:autoSpaceDE w:val="0"/>
        <w:autoSpaceDN w:val="0"/>
        <w:adjustRightInd w:val="0"/>
        <w:ind w:left="1440" w:hanging="720"/>
      </w:pPr>
      <w:r>
        <w:t>d)</w:t>
      </w:r>
      <w:r>
        <w:tab/>
        <w:t xml:space="preserve">If it is more convenient to measure the neutron </w:t>
      </w:r>
      <w:proofErr w:type="spellStart"/>
      <w:r>
        <w:t>fluence</w:t>
      </w:r>
      <w:proofErr w:type="spellEnd"/>
      <w:r>
        <w:t xml:space="preserve"> rate than to determine the neutron dose equivalent rate in rem per hour or </w:t>
      </w:r>
      <w:proofErr w:type="spellStart"/>
      <w:r>
        <w:t>sievert</w:t>
      </w:r>
      <w:proofErr w:type="spellEnd"/>
      <w:r>
        <w:t xml:space="preserve"> per hour, as provided in subsection (c) of this Section, 0.01 </w:t>
      </w:r>
      <w:proofErr w:type="spellStart"/>
      <w:r>
        <w:t>Sv</w:t>
      </w:r>
      <w:proofErr w:type="spellEnd"/>
      <w:r>
        <w:t xml:space="preserve"> (1 rem) of neutron radiation of unknown energies may, for purposes of 32 Ill. Adm. Code:  Chapter II, Subchapters b and d, be assumed to result from a total </w:t>
      </w:r>
      <w:proofErr w:type="spellStart"/>
      <w:r>
        <w:t>fluence</w:t>
      </w:r>
      <w:proofErr w:type="spellEnd"/>
      <w:r>
        <w:t xml:space="preserve"> of 25 million neutrons per square centimeter incident upon the body.  If sufficient information exists to estimate the approximate energy distribution of the neutrons, the licensee may convert a measured tissue dose in gray (rad) to dose equivalent in </w:t>
      </w:r>
      <w:proofErr w:type="spellStart"/>
      <w:r>
        <w:t>sievert</w:t>
      </w:r>
      <w:proofErr w:type="spellEnd"/>
      <w:r>
        <w:t xml:space="preserve"> (rem) by using the </w:t>
      </w:r>
      <w:proofErr w:type="spellStart"/>
      <w:r>
        <w:t>fluence</w:t>
      </w:r>
      <w:proofErr w:type="spellEnd"/>
      <w:r>
        <w:t xml:space="preserve"> rate per unit dose equivalent or the appropriate Q value shown below. </w:t>
      </w:r>
    </w:p>
    <w:p w:rsidR="00B25F24" w:rsidRDefault="00B25F24" w:rsidP="00B25F24">
      <w:pPr>
        <w:widowControl w:val="0"/>
        <w:autoSpaceDE w:val="0"/>
        <w:autoSpaceDN w:val="0"/>
        <w:adjustRightInd w:val="0"/>
        <w:ind w:left="1440" w:hanging="720"/>
      </w:pPr>
    </w:p>
    <w:tbl>
      <w:tblPr>
        <w:tblW w:w="8742" w:type="dxa"/>
        <w:tblInd w:w="828" w:type="dxa"/>
        <w:tblLook w:val="0000" w:firstRow="0" w:lastRow="0" w:firstColumn="0" w:lastColumn="0" w:noHBand="0" w:noVBand="0"/>
      </w:tblPr>
      <w:tblGrid>
        <w:gridCol w:w="2334"/>
        <w:gridCol w:w="1779"/>
        <w:gridCol w:w="2340"/>
        <w:gridCol w:w="2289"/>
      </w:tblGrid>
      <w:tr w:rsidR="00D74439">
        <w:tblPrEx>
          <w:tblCellMar>
            <w:top w:w="0" w:type="dxa"/>
            <w:bottom w:w="0" w:type="dxa"/>
          </w:tblCellMar>
        </w:tblPrEx>
        <w:trPr>
          <w:trHeight w:val="1205"/>
        </w:trPr>
        <w:tc>
          <w:tcPr>
            <w:tcW w:w="2334" w:type="dxa"/>
            <w:tcBorders>
              <w:top w:val="single" w:sz="4" w:space="0" w:color="auto"/>
            </w:tcBorders>
            <w:vAlign w:val="center"/>
          </w:tcPr>
          <w:p w:rsidR="00D74439" w:rsidRDefault="00D74439" w:rsidP="00C1162F">
            <w:pPr>
              <w:widowControl w:val="0"/>
              <w:autoSpaceDE w:val="0"/>
              <w:autoSpaceDN w:val="0"/>
              <w:adjustRightInd w:val="0"/>
              <w:jc w:val="center"/>
            </w:pPr>
            <w:r>
              <w:t>Neutron Energy (MeV)</w:t>
            </w:r>
          </w:p>
        </w:tc>
        <w:tc>
          <w:tcPr>
            <w:tcW w:w="1779" w:type="dxa"/>
            <w:tcBorders>
              <w:top w:val="single" w:sz="4" w:space="0" w:color="auto"/>
            </w:tcBorders>
            <w:vAlign w:val="center"/>
          </w:tcPr>
          <w:p w:rsidR="00D74439" w:rsidRDefault="00D74439" w:rsidP="00C1162F">
            <w:pPr>
              <w:widowControl w:val="0"/>
              <w:autoSpaceDE w:val="0"/>
              <w:autoSpaceDN w:val="0"/>
              <w:adjustRightInd w:val="0"/>
              <w:jc w:val="center"/>
            </w:pPr>
            <w:r>
              <w:t xml:space="preserve">Quality </w:t>
            </w:r>
            <w:proofErr w:type="spellStart"/>
            <w:r>
              <w:t>Factor</w:t>
            </w:r>
            <w:r w:rsidRPr="00511217">
              <w:rPr>
                <w:vertAlign w:val="superscript"/>
              </w:rPr>
              <w:t>a</w:t>
            </w:r>
            <w:proofErr w:type="spellEnd"/>
            <w:r>
              <w:t xml:space="preserve"> (Q)</w:t>
            </w:r>
          </w:p>
        </w:tc>
        <w:tc>
          <w:tcPr>
            <w:tcW w:w="2340" w:type="dxa"/>
            <w:tcBorders>
              <w:top w:val="single" w:sz="4" w:space="0" w:color="auto"/>
            </w:tcBorders>
            <w:vAlign w:val="center"/>
          </w:tcPr>
          <w:p w:rsidR="00D74439" w:rsidRDefault="00D74439" w:rsidP="00C1162F">
            <w:pPr>
              <w:widowControl w:val="0"/>
              <w:autoSpaceDE w:val="0"/>
              <w:autoSpaceDN w:val="0"/>
              <w:adjustRightInd w:val="0"/>
              <w:jc w:val="center"/>
            </w:pPr>
            <w:proofErr w:type="spellStart"/>
            <w:r>
              <w:t>Fluence</w:t>
            </w:r>
            <w:proofErr w:type="spellEnd"/>
            <w:r>
              <w:t xml:space="preserve"> per Unit Dose </w:t>
            </w:r>
            <w:proofErr w:type="spellStart"/>
            <w:r>
              <w:t>Equivalent</w:t>
            </w:r>
            <w:r w:rsidRPr="00384524">
              <w:rPr>
                <w:vertAlign w:val="superscript"/>
              </w:rPr>
              <w:t>b</w:t>
            </w:r>
            <w:proofErr w:type="spellEnd"/>
            <w:r>
              <w:rPr>
                <w:vertAlign w:val="superscript"/>
              </w:rPr>
              <w:t xml:space="preserve"> </w:t>
            </w:r>
            <w:r>
              <w:t>(neutrons cm</w:t>
            </w:r>
            <w:r w:rsidRPr="00384524">
              <w:rPr>
                <w:vertAlign w:val="superscript"/>
              </w:rPr>
              <w:t>-2</w:t>
            </w:r>
            <w:r>
              <w:rPr>
                <w:vertAlign w:val="superscript"/>
              </w:rPr>
              <w:t xml:space="preserve"> </w:t>
            </w:r>
            <w:r>
              <w:t>Sv</w:t>
            </w:r>
            <w:r w:rsidRPr="00384524">
              <w:rPr>
                <w:vertAlign w:val="superscript"/>
              </w:rPr>
              <w:t>-1</w:t>
            </w:r>
            <w:r>
              <w:rPr>
                <w:vertAlign w:val="superscript"/>
              </w:rPr>
              <w:t>)</w:t>
            </w:r>
          </w:p>
        </w:tc>
        <w:tc>
          <w:tcPr>
            <w:tcW w:w="2289" w:type="dxa"/>
            <w:tcBorders>
              <w:top w:val="single" w:sz="4" w:space="0" w:color="auto"/>
            </w:tcBorders>
            <w:vAlign w:val="center"/>
          </w:tcPr>
          <w:p w:rsidR="00D74439" w:rsidRDefault="00D74439" w:rsidP="00C1162F">
            <w:pPr>
              <w:widowControl w:val="0"/>
              <w:autoSpaceDE w:val="0"/>
              <w:autoSpaceDN w:val="0"/>
              <w:adjustRightInd w:val="0"/>
              <w:jc w:val="center"/>
            </w:pPr>
            <w:proofErr w:type="spellStart"/>
            <w:r>
              <w:t>Fluence</w:t>
            </w:r>
            <w:proofErr w:type="spellEnd"/>
            <w:r>
              <w:t xml:space="preserve"> per Unit Dose </w:t>
            </w:r>
            <w:proofErr w:type="spellStart"/>
            <w:r>
              <w:t>Equivalent</w:t>
            </w:r>
            <w:r w:rsidRPr="00384524">
              <w:rPr>
                <w:vertAlign w:val="superscript"/>
              </w:rPr>
              <w:t>b</w:t>
            </w:r>
            <w:proofErr w:type="spellEnd"/>
            <w:r>
              <w:rPr>
                <w:vertAlign w:val="superscript"/>
              </w:rPr>
              <w:t xml:space="preserve"> </w:t>
            </w:r>
            <w:r>
              <w:t>(neutrons cm</w:t>
            </w:r>
            <w:r w:rsidRPr="00384524">
              <w:rPr>
                <w:vertAlign w:val="superscript"/>
              </w:rPr>
              <w:t>-2</w:t>
            </w:r>
            <w:r>
              <w:rPr>
                <w:vertAlign w:val="superscript"/>
              </w:rPr>
              <w:t xml:space="preserve"> </w:t>
            </w:r>
            <w:r>
              <w:t>rem</w:t>
            </w:r>
            <w:r w:rsidRPr="00384524">
              <w:rPr>
                <w:vertAlign w:val="superscript"/>
              </w:rPr>
              <w:t>-1</w:t>
            </w:r>
            <w:r>
              <w:rPr>
                <w:vertAlign w:val="superscript"/>
              </w:rPr>
              <w:t>)</w:t>
            </w:r>
          </w:p>
        </w:tc>
      </w:tr>
      <w:tr w:rsidR="00D74439">
        <w:tblPrEx>
          <w:tblCellMar>
            <w:top w:w="0" w:type="dxa"/>
            <w:bottom w:w="0" w:type="dxa"/>
          </w:tblCellMar>
        </w:tblPrEx>
        <w:tc>
          <w:tcPr>
            <w:tcW w:w="2334" w:type="dxa"/>
            <w:tcBorders>
              <w:top w:val="single" w:sz="4" w:space="0" w:color="auto"/>
            </w:tcBorders>
            <w:vAlign w:val="center"/>
          </w:tcPr>
          <w:p w:rsidR="00D74439" w:rsidRDefault="00D74439" w:rsidP="00C1162F">
            <w:pPr>
              <w:widowControl w:val="0"/>
              <w:autoSpaceDE w:val="0"/>
              <w:autoSpaceDN w:val="0"/>
              <w:adjustRightInd w:val="0"/>
              <w:ind w:left="369"/>
            </w:pPr>
            <w:r>
              <w:t>2.5 E</w:t>
            </w:r>
            <w:r w:rsidRPr="00384524">
              <w:rPr>
                <w:vertAlign w:val="superscript"/>
              </w:rPr>
              <w:t>-8</w:t>
            </w:r>
            <w:r>
              <w:rPr>
                <w:vertAlign w:val="superscript"/>
              </w:rPr>
              <w:t xml:space="preserve"> </w:t>
            </w:r>
            <w:r>
              <w:t>(thermal)</w:t>
            </w:r>
          </w:p>
        </w:tc>
        <w:tc>
          <w:tcPr>
            <w:tcW w:w="1779" w:type="dxa"/>
            <w:tcBorders>
              <w:top w:val="single" w:sz="4" w:space="0" w:color="auto"/>
            </w:tcBorders>
            <w:vAlign w:val="center"/>
          </w:tcPr>
          <w:p w:rsidR="00D74439" w:rsidRDefault="00D74439" w:rsidP="00C1162F">
            <w:pPr>
              <w:widowControl w:val="0"/>
              <w:autoSpaceDE w:val="0"/>
              <w:autoSpaceDN w:val="0"/>
              <w:adjustRightInd w:val="0"/>
              <w:jc w:val="center"/>
            </w:pPr>
            <w:r>
              <w:t>2</w:t>
            </w:r>
          </w:p>
        </w:tc>
        <w:tc>
          <w:tcPr>
            <w:tcW w:w="2340" w:type="dxa"/>
            <w:tcBorders>
              <w:top w:val="single" w:sz="4" w:space="0" w:color="auto"/>
            </w:tcBorders>
            <w:vAlign w:val="center"/>
          </w:tcPr>
          <w:p w:rsidR="00D74439" w:rsidRDefault="00D74439" w:rsidP="00C1162F">
            <w:pPr>
              <w:widowControl w:val="0"/>
              <w:autoSpaceDE w:val="0"/>
              <w:autoSpaceDN w:val="0"/>
              <w:adjustRightInd w:val="0"/>
              <w:jc w:val="center"/>
            </w:pPr>
            <w:r>
              <w:t>980 E</w:t>
            </w:r>
            <w:r w:rsidRPr="00384524">
              <w:rPr>
                <w:vertAlign w:val="superscript"/>
              </w:rPr>
              <w:t>8</w:t>
            </w:r>
          </w:p>
        </w:tc>
        <w:tc>
          <w:tcPr>
            <w:tcW w:w="2289" w:type="dxa"/>
            <w:tcBorders>
              <w:top w:val="single" w:sz="4" w:space="0" w:color="auto"/>
            </w:tcBorders>
            <w:vAlign w:val="center"/>
          </w:tcPr>
          <w:p w:rsidR="00D74439" w:rsidRDefault="00D74439" w:rsidP="00C1162F">
            <w:pPr>
              <w:widowControl w:val="0"/>
              <w:autoSpaceDE w:val="0"/>
              <w:autoSpaceDN w:val="0"/>
              <w:adjustRightInd w:val="0"/>
              <w:jc w:val="center"/>
            </w:pPr>
            <w:r>
              <w:t>980 E</w:t>
            </w:r>
            <w:r w:rsidRPr="00384524">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-7</w:t>
            </w:r>
          </w:p>
        </w:tc>
        <w:tc>
          <w:tcPr>
            <w:tcW w:w="1779" w:type="dxa"/>
            <w:vAlign w:val="center"/>
          </w:tcPr>
          <w:p w:rsidR="00D74439" w:rsidRDefault="00D74439" w:rsidP="00C1162F">
            <w:pPr>
              <w:widowControl w:val="0"/>
              <w:autoSpaceDE w:val="0"/>
              <w:autoSpaceDN w:val="0"/>
              <w:adjustRightInd w:val="0"/>
              <w:jc w:val="center"/>
            </w:pPr>
            <w:r>
              <w:t>2</w:t>
            </w:r>
          </w:p>
        </w:tc>
        <w:tc>
          <w:tcPr>
            <w:tcW w:w="2340" w:type="dxa"/>
            <w:vAlign w:val="center"/>
          </w:tcPr>
          <w:p w:rsidR="00D74439" w:rsidRDefault="00D74439" w:rsidP="00C1162F">
            <w:pPr>
              <w:widowControl w:val="0"/>
              <w:autoSpaceDE w:val="0"/>
              <w:autoSpaceDN w:val="0"/>
              <w:adjustRightInd w:val="0"/>
              <w:jc w:val="center"/>
            </w:pPr>
            <w:r>
              <w:t>980 E</w:t>
            </w:r>
            <w:r w:rsidRPr="00384524">
              <w:rPr>
                <w:vertAlign w:val="superscript"/>
              </w:rPr>
              <w:t>8</w:t>
            </w:r>
          </w:p>
        </w:tc>
        <w:tc>
          <w:tcPr>
            <w:tcW w:w="2289" w:type="dxa"/>
            <w:vAlign w:val="center"/>
          </w:tcPr>
          <w:p w:rsidR="00D74439" w:rsidRDefault="00D74439" w:rsidP="00C1162F">
            <w:pPr>
              <w:widowControl w:val="0"/>
              <w:autoSpaceDE w:val="0"/>
              <w:autoSpaceDN w:val="0"/>
              <w:adjustRightInd w:val="0"/>
              <w:jc w:val="center"/>
            </w:pPr>
            <w:r>
              <w:t>980 E</w:t>
            </w:r>
            <w:r>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-6</w:t>
            </w:r>
          </w:p>
        </w:tc>
        <w:tc>
          <w:tcPr>
            <w:tcW w:w="1779" w:type="dxa"/>
            <w:vAlign w:val="center"/>
          </w:tcPr>
          <w:p w:rsidR="00D74439" w:rsidRDefault="00D74439" w:rsidP="00C1162F">
            <w:pPr>
              <w:widowControl w:val="0"/>
              <w:autoSpaceDE w:val="0"/>
              <w:autoSpaceDN w:val="0"/>
              <w:adjustRightInd w:val="0"/>
              <w:jc w:val="center"/>
            </w:pPr>
            <w:r>
              <w:t>2</w:t>
            </w:r>
          </w:p>
        </w:tc>
        <w:tc>
          <w:tcPr>
            <w:tcW w:w="2340" w:type="dxa"/>
            <w:vAlign w:val="center"/>
          </w:tcPr>
          <w:p w:rsidR="00D74439" w:rsidRDefault="00D74439" w:rsidP="00C1162F">
            <w:pPr>
              <w:widowControl w:val="0"/>
              <w:autoSpaceDE w:val="0"/>
              <w:autoSpaceDN w:val="0"/>
              <w:adjustRightInd w:val="0"/>
              <w:jc w:val="center"/>
            </w:pPr>
            <w:r>
              <w:t>810 E</w:t>
            </w:r>
            <w:r w:rsidRPr="00384524">
              <w:rPr>
                <w:vertAlign w:val="superscript"/>
              </w:rPr>
              <w:t>8</w:t>
            </w:r>
          </w:p>
        </w:tc>
        <w:tc>
          <w:tcPr>
            <w:tcW w:w="2289" w:type="dxa"/>
            <w:vAlign w:val="center"/>
          </w:tcPr>
          <w:p w:rsidR="00D74439" w:rsidRDefault="00D74439" w:rsidP="00C1162F">
            <w:pPr>
              <w:widowControl w:val="0"/>
              <w:autoSpaceDE w:val="0"/>
              <w:autoSpaceDN w:val="0"/>
              <w:adjustRightInd w:val="0"/>
              <w:jc w:val="center"/>
            </w:pPr>
            <w:r>
              <w:t>810 E</w:t>
            </w:r>
            <w:r>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w:t>
            </w:r>
            <w:r>
              <w:rPr>
                <w:vertAlign w:val="superscript"/>
              </w:rPr>
              <w:t>5</w:t>
            </w:r>
          </w:p>
        </w:tc>
        <w:tc>
          <w:tcPr>
            <w:tcW w:w="1779" w:type="dxa"/>
            <w:vAlign w:val="center"/>
          </w:tcPr>
          <w:p w:rsidR="00D74439" w:rsidRDefault="00D74439" w:rsidP="00C1162F">
            <w:pPr>
              <w:widowControl w:val="0"/>
              <w:autoSpaceDE w:val="0"/>
              <w:autoSpaceDN w:val="0"/>
              <w:adjustRightInd w:val="0"/>
              <w:jc w:val="center"/>
            </w:pPr>
            <w:r>
              <w:t>2</w:t>
            </w:r>
          </w:p>
        </w:tc>
        <w:tc>
          <w:tcPr>
            <w:tcW w:w="2340" w:type="dxa"/>
            <w:vAlign w:val="center"/>
          </w:tcPr>
          <w:p w:rsidR="00D74439" w:rsidRDefault="00D74439" w:rsidP="00C1162F">
            <w:pPr>
              <w:widowControl w:val="0"/>
              <w:autoSpaceDE w:val="0"/>
              <w:autoSpaceDN w:val="0"/>
              <w:adjustRightInd w:val="0"/>
              <w:jc w:val="center"/>
            </w:pPr>
            <w:r>
              <w:t>810 E</w:t>
            </w:r>
            <w:r w:rsidRPr="00384524">
              <w:rPr>
                <w:vertAlign w:val="superscript"/>
              </w:rPr>
              <w:t>8</w:t>
            </w:r>
          </w:p>
        </w:tc>
        <w:tc>
          <w:tcPr>
            <w:tcW w:w="2289" w:type="dxa"/>
            <w:vAlign w:val="center"/>
          </w:tcPr>
          <w:p w:rsidR="00D74439" w:rsidRDefault="00D74439" w:rsidP="00C1162F">
            <w:pPr>
              <w:widowControl w:val="0"/>
              <w:autoSpaceDE w:val="0"/>
              <w:autoSpaceDN w:val="0"/>
              <w:adjustRightInd w:val="0"/>
              <w:jc w:val="center"/>
            </w:pPr>
            <w:r>
              <w:t>810 E</w:t>
            </w:r>
            <w:r>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w:t>
            </w:r>
            <w:r>
              <w:rPr>
                <w:vertAlign w:val="superscript"/>
              </w:rPr>
              <w:t>4</w:t>
            </w:r>
          </w:p>
        </w:tc>
        <w:tc>
          <w:tcPr>
            <w:tcW w:w="1779" w:type="dxa"/>
            <w:vAlign w:val="center"/>
          </w:tcPr>
          <w:p w:rsidR="00D74439" w:rsidRDefault="00D74439" w:rsidP="00C1162F">
            <w:pPr>
              <w:widowControl w:val="0"/>
              <w:autoSpaceDE w:val="0"/>
              <w:autoSpaceDN w:val="0"/>
              <w:adjustRightInd w:val="0"/>
              <w:jc w:val="center"/>
            </w:pPr>
            <w:r>
              <w:t>2</w:t>
            </w:r>
          </w:p>
        </w:tc>
        <w:tc>
          <w:tcPr>
            <w:tcW w:w="2340" w:type="dxa"/>
            <w:vAlign w:val="center"/>
          </w:tcPr>
          <w:p w:rsidR="00D74439" w:rsidRDefault="00D74439" w:rsidP="00C1162F">
            <w:pPr>
              <w:widowControl w:val="0"/>
              <w:autoSpaceDE w:val="0"/>
              <w:autoSpaceDN w:val="0"/>
              <w:adjustRightInd w:val="0"/>
              <w:jc w:val="center"/>
            </w:pPr>
            <w:r>
              <w:t>840 E</w:t>
            </w:r>
            <w:r w:rsidRPr="00384524">
              <w:rPr>
                <w:vertAlign w:val="superscript"/>
              </w:rPr>
              <w:t>8</w:t>
            </w:r>
          </w:p>
        </w:tc>
        <w:tc>
          <w:tcPr>
            <w:tcW w:w="2289" w:type="dxa"/>
            <w:vAlign w:val="center"/>
          </w:tcPr>
          <w:p w:rsidR="00D74439" w:rsidRDefault="00D74439" w:rsidP="00C1162F">
            <w:pPr>
              <w:widowControl w:val="0"/>
              <w:autoSpaceDE w:val="0"/>
              <w:autoSpaceDN w:val="0"/>
              <w:adjustRightInd w:val="0"/>
              <w:jc w:val="center"/>
            </w:pPr>
            <w:r>
              <w:t>840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w:t>
            </w:r>
            <w:r>
              <w:rPr>
                <w:vertAlign w:val="superscript"/>
              </w:rPr>
              <w:t>3</w:t>
            </w:r>
          </w:p>
        </w:tc>
        <w:tc>
          <w:tcPr>
            <w:tcW w:w="1779" w:type="dxa"/>
            <w:vAlign w:val="center"/>
          </w:tcPr>
          <w:p w:rsidR="00D74439" w:rsidRDefault="00D74439" w:rsidP="00C1162F">
            <w:pPr>
              <w:widowControl w:val="0"/>
              <w:autoSpaceDE w:val="0"/>
              <w:autoSpaceDN w:val="0"/>
              <w:adjustRightInd w:val="0"/>
              <w:jc w:val="center"/>
            </w:pPr>
            <w:r>
              <w:t>2</w:t>
            </w:r>
          </w:p>
        </w:tc>
        <w:tc>
          <w:tcPr>
            <w:tcW w:w="2340" w:type="dxa"/>
            <w:vAlign w:val="center"/>
          </w:tcPr>
          <w:p w:rsidR="00D74439" w:rsidRDefault="00D74439" w:rsidP="00C1162F">
            <w:pPr>
              <w:widowControl w:val="0"/>
              <w:autoSpaceDE w:val="0"/>
              <w:autoSpaceDN w:val="0"/>
              <w:adjustRightInd w:val="0"/>
              <w:jc w:val="center"/>
            </w:pPr>
            <w:r>
              <w:t>980 E</w:t>
            </w:r>
            <w:r w:rsidRPr="00384524">
              <w:rPr>
                <w:vertAlign w:val="superscript"/>
              </w:rPr>
              <w:t>8</w:t>
            </w:r>
          </w:p>
        </w:tc>
        <w:tc>
          <w:tcPr>
            <w:tcW w:w="2289" w:type="dxa"/>
            <w:vAlign w:val="center"/>
          </w:tcPr>
          <w:p w:rsidR="00D74439" w:rsidRDefault="00D74439" w:rsidP="00C1162F">
            <w:pPr>
              <w:widowControl w:val="0"/>
              <w:autoSpaceDE w:val="0"/>
              <w:autoSpaceDN w:val="0"/>
              <w:adjustRightInd w:val="0"/>
              <w:jc w:val="center"/>
            </w:pPr>
            <w:r>
              <w:t>980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w:t>
            </w:r>
            <w:r>
              <w:rPr>
                <w:vertAlign w:val="superscript"/>
              </w:rPr>
              <w:t>2</w:t>
            </w:r>
          </w:p>
        </w:tc>
        <w:tc>
          <w:tcPr>
            <w:tcW w:w="1779" w:type="dxa"/>
            <w:vAlign w:val="center"/>
          </w:tcPr>
          <w:p w:rsidR="00D74439" w:rsidRDefault="00D74439" w:rsidP="00C1162F">
            <w:pPr>
              <w:widowControl w:val="0"/>
              <w:autoSpaceDE w:val="0"/>
              <w:autoSpaceDN w:val="0"/>
              <w:adjustRightInd w:val="0"/>
              <w:ind w:firstLine="195"/>
              <w:jc w:val="center"/>
            </w:pPr>
            <w:r>
              <w:t>2.5</w:t>
            </w:r>
          </w:p>
        </w:tc>
        <w:tc>
          <w:tcPr>
            <w:tcW w:w="2340" w:type="dxa"/>
            <w:vAlign w:val="center"/>
          </w:tcPr>
          <w:p w:rsidR="00D74439" w:rsidRDefault="00D74439" w:rsidP="00C1162F">
            <w:pPr>
              <w:widowControl w:val="0"/>
              <w:autoSpaceDE w:val="0"/>
              <w:autoSpaceDN w:val="0"/>
              <w:adjustRightInd w:val="0"/>
              <w:ind w:hanging="138"/>
              <w:jc w:val="center"/>
            </w:pPr>
            <w:r>
              <w:t>1010 E</w:t>
            </w:r>
            <w:r w:rsidRPr="00384524">
              <w:rPr>
                <w:vertAlign w:val="superscript"/>
              </w:rPr>
              <w:t>8</w:t>
            </w:r>
          </w:p>
        </w:tc>
        <w:tc>
          <w:tcPr>
            <w:tcW w:w="2289" w:type="dxa"/>
            <w:vAlign w:val="center"/>
          </w:tcPr>
          <w:p w:rsidR="00D74439" w:rsidRDefault="00D74439" w:rsidP="00C1162F">
            <w:pPr>
              <w:widowControl w:val="0"/>
              <w:autoSpaceDE w:val="0"/>
              <w:autoSpaceDN w:val="0"/>
              <w:adjustRightInd w:val="0"/>
              <w:ind w:hanging="120"/>
              <w:jc w:val="center"/>
            </w:pPr>
            <w:r>
              <w:t>1010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 E</w:t>
            </w:r>
            <w:r w:rsidRPr="00384524">
              <w:rPr>
                <w:vertAlign w:val="superscript"/>
              </w:rPr>
              <w:t>-</w:t>
            </w:r>
            <w:r>
              <w:rPr>
                <w:vertAlign w:val="superscript"/>
              </w:rPr>
              <w:t>1</w:t>
            </w:r>
          </w:p>
        </w:tc>
        <w:tc>
          <w:tcPr>
            <w:tcW w:w="1779" w:type="dxa"/>
            <w:vAlign w:val="center"/>
          </w:tcPr>
          <w:p w:rsidR="00D74439" w:rsidRDefault="00D74439" w:rsidP="00C1162F">
            <w:pPr>
              <w:widowControl w:val="0"/>
              <w:autoSpaceDE w:val="0"/>
              <w:autoSpaceDN w:val="0"/>
              <w:adjustRightInd w:val="0"/>
              <w:ind w:firstLine="150"/>
              <w:jc w:val="center"/>
            </w:pPr>
            <w:r>
              <w:t>7.5</w:t>
            </w:r>
          </w:p>
        </w:tc>
        <w:tc>
          <w:tcPr>
            <w:tcW w:w="2340" w:type="dxa"/>
            <w:vAlign w:val="center"/>
          </w:tcPr>
          <w:p w:rsidR="00D74439" w:rsidRDefault="00D74439" w:rsidP="00C1162F">
            <w:pPr>
              <w:widowControl w:val="0"/>
              <w:autoSpaceDE w:val="0"/>
              <w:autoSpaceDN w:val="0"/>
              <w:adjustRightInd w:val="0"/>
              <w:jc w:val="center"/>
            </w:pPr>
            <w:r>
              <w:t>170 E</w:t>
            </w:r>
            <w:r w:rsidRPr="002B1245">
              <w:rPr>
                <w:vertAlign w:val="superscript"/>
              </w:rPr>
              <w:t>8</w:t>
            </w:r>
          </w:p>
        </w:tc>
        <w:tc>
          <w:tcPr>
            <w:tcW w:w="2289" w:type="dxa"/>
            <w:vAlign w:val="center"/>
          </w:tcPr>
          <w:p w:rsidR="00D74439" w:rsidRDefault="00D74439" w:rsidP="00C1162F">
            <w:pPr>
              <w:widowControl w:val="0"/>
              <w:autoSpaceDE w:val="0"/>
              <w:autoSpaceDN w:val="0"/>
              <w:adjustRightInd w:val="0"/>
              <w:jc w:val="center"/>
            </w:pPr>
            <w:r>
              <w:t>170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5 E</w:t>
            </w:r>
            <w:r w:rsidRPr="00384524">
              <w:rPr>
                <w:vertAlign w:val="superscript"/>
              </w:rPr>
              <w:t>-</w:t>
            </w:r>
            <w:r>
              <w:rPr>
                <w:vertAlign w:val="superscript"/>
              </w:rPr>
              <w:t>1</w:t>
            </w:r>
          </w:p>
        </w:tc>
        <w:tc>
          <w:tcPr>
            <w:tcW w:w="1779" w:type="dxa"/>
            <w:vAlign w:val="center"/>
          </w:tcPr>
          <w:p w:rsidR="00D74439" w:rsidRDefault="00D74439" w:rsidP="00C1162F">
            <w:pPr>
              <w:widowControl w:val="0"/>
              <w:autoSpaceDE w:val="0"/>
              <w:autoSpaceDN w:val="0"/>
              <w:adjustRightInd w:val="0"/>
              <w:ind w:hanging="129"/>
              <w:jc w:val="center"/>
            </w:pPr>
            <w:r>
              <w:t>11</w:t>
            </w:r>
          </w:p>
        </w:tc>
        <w:tc>
          <w:tcPr>
            <w:tcW w:w="2340" w:type="dxa"/>
            <w:vAlign w:val="center"/>
          </w:tcPr>
          <w:p w:rsidR="00D74439" w:rsidRDefault="00D74439" w:rsidP="00C1162F">
            <w:pPr>
              <w:widowControl w:val="0"/>
              <w:autoSpaceDE w:val="0"/>
              <w:autoSpaceDN w:val="0"/>
              <w:adjustRightInd w:val="0"/>
              <w:ind w:firstLine="105"/>
              <w:jc w:val="center"/>
            </w:pPr>
            <w:r>
              <w:t>39 E</w:t>
            </w:r>
            <w:r w:rsidRPr="009E5BA3">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39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1</w:t>
            </w:r>
          </w:p>
        </w:tc>
        <w:tc>
          <w:tcPr>
            <w:tcW w:w="1779" w:type="dxa"/>
            <w:vAlign w:val="center"/>
          </w:tcPr>
          <w:p w:rsidR="00D74439" w:rsidRDefault="00D74439" w:rsidP="00C1162F">
            <w:pPr>
              <w:widowControl w:val="0"/>
              <w:autoSpaceDE w:val="0"/>
              <w:autoSpaceDN w:val="0"/>
              <w:adjustRightInd w:val="0"/>
              <w:ind w:hanging="129"/>
              <w:jc w:val="center"/>
            </w:pPr>
            <w:r>
              <w:t>11</w:t>
            </w:r>
          </w:p>
        </w:tc>
        <w:tc>
          <w:tcPr>
            <w:tcW w:w="2340" w:type="dxa"/>
            <w:vAlign w:val="center"/>
          </w:tcPr>
          <w:p w:rsidR="00D74439" w:rsidRDefault="00D74439" w:rsidP="00C1162F">
            <w:pPr>
              <w:widowControl w:val="0"/>
              <w:autoSpaceDE w:val="0"/>
              <w:autoSpaceDN w:val="0"/>
              <w:adjustRightInd w:val="0"/>
              <w:ind w:firstLine="105"/>
              <w:jc w:val="center"/>
            </w:pPr>
            <w:r>
              <w:t>27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27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2.5</w:t>
            </w:r>
          </w:p>
        </w:tc>
        <w:tc>
          <w:tcPr>
            <w:tcW w:w="1779" w:type="dxa"/>
            <w:vAlign w:val="center"/>
          </w:tcPr>
          <w:p w:rsidR="00D74439" w:rsidRDefault="00D74439" w:rsidP="00C1162F">
            <w:pPr>
              <w:widowControl w:val="0"/>
              <w:autoSpaceDE w:val="0"/>
              <w:autoSpaceDN w:val="0"/>
              <w:adjustRightInd w:val="0"/>
              <w:jc w:val="center"/>
            </w:pPr>
            <w:r>
              <w:t>9</w:t>
            </w:r>
          </w:p>
        </w:tc>
        <w:tc>
          <w:tcPr>
            <w:tcW w:w="2340" w:type="dxa"/>
            <w:vAlign w:val="center"/>
          </w:tcPr>
          <w:p w:rsidR="00D74439" w:rsidRDefault="00D74439" w:rsidP="00C1162F">
            <w:pPr>
              <w:widowControl w:val="0"/>
              <w:autoSpaceDE w:val="0"/>
              <w:autoSpaceDN w:val="0"/>
              <w:adjustRightInd w:val="0"/>
              <w:ind w:firstLine="105"/>
              <w:jc w:val="center"/>
            </w:pPr>
            <w:r>
              <w:t>29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29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5</w:t>
            </w:r>
          </w:p>
        </w:tc>
        <w:tc>
          <w:tcPr>
            <w:tcW w:w="1779" w:type="dxa"/>
            <w:vAlign w:val="center"/>
          </w:tcPr>
          <w:p w:rsidR="00D74439" w:rsidRDefault="00D74439" w:rsidP="00C1162F">
            <w:pPr>
              <w:widowControl w:val="0"/>
              <w:autoSpaceDE w:val="0"/>
              <w:autoSpaceDN w:val="0"/>
              <w:adjustRightInd w:val="0"/>
              <w:jc w:val="center"/>
            </w:pPr>
            <w:r>
              <w:t>8</w:t>
            </w:r>
          </w:p>
        </w:tc>
        <w:tc>
          <w:tcPr>
            <w:tcW w:w="2340" w:type="dxa"/>
            <w:vAlign w:val="center"/>
          </w:tcPr>
          <w:p w:rsidR="00D74439" w:rsidRDefault="00D74439" w:rsidP="00C1162F">
            <w:pPr>
              <w:widowControl w:val="0"/>
              <w:autoSpaceDE w:val="0"/>
              <w:autoSpaceDN w:val="0"/>
              <w:adjustRightInd w:val="0"/>
              <w:ind w:firstLine="105"/>
              <w:jc w:val="center"/>
            </w:pPr>
            <w:r>
              <w:t>23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23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pPr>
            <w:r>
              <w:t>7</w:t>
            </w:r>
          </w:p>
        </w:tc>
        <w:tc>
          <w:tcPr>
            <w:tcW w:w="1779" w:type="dxa"/>
            <w:vAlign w:val="center"/>
          </w:tcPr>
          <w:p w:rsidR="00D74439" w:rsidRDefault="00D74439" w:rsidP="00C1162F">
            <w:pPr>
              <w:widowControl w:val="0"/>
              <w:autoSpaceDE w:val="0"/>
              <w:autoSpaceDN w:val="0"/>
              <w:adjustRightInd w:val="0"/>
              <w:jc w:val="center"/>
            </w:pPr>
            <w:r>
              <w:t>7</w:t>
            </w:r>
          </w:p>
        </w:tc>
        <w:tc>
          <w:tcPr>
            <w:tcW w:w="2340" w:type="dxa"/>
            <w:vAlign w:val="center"/>
          </w:tcPr>
          <w:p w:rsidR="00D74439" w:rsidRDefault="00D74439" w:rsidP="00C1162F">
            <w:pPr>
              <w:widowControl w:val="0"/>
              <w:autoSpaceDE w:val="0"/>
              <w:autoSpaceDN w:val="0"/>
              <w:adjustRightInd w:val="0"/>
              <w:ind w:firstLine="105"/>
              <w:jc w:val="center"/>
            </w:pPr>
            <w:r>
              <w:t>24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24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firstLine="12"/>
            </w:pPr>
            <w:r>
              <w:t>10</w:t>
            </w:r>
          </w:p>
        </w:tc>
        <w:tc>
          <w:tcPr>
            <w:tcW w:w="1779" w:type="dxa"/>
            <w:vAlign w:val="center"/>
          </w:tcPr>
          <w:p w:rsidR="00D74439" w:rsidRDefault="00D74439" w:rsidP="00C1162F">
            <w:pPr>
              <w:widowControl w:val="0"/>
              <w:autoSpaceDE w:val="0"/>
              <w:autoSpaceDN w:val="0"/>
              <w:adjustRightInd w:val="0"/>
              <w:ind w:firstLine="150"/>
              <w:jc w:val="center"/>
            </w:pPr>
            <w:r>
              <w:t>6.5</w:t>
            </w:r>
          </w:p>
        </w:tc>
        <w:tc>
          <w:tcPr>
            <w:tcW w:w="2340" w:type="dxa"/>
            <w:vAlign w:val="center"/>
          </w:tcPr>
          <w:p w:rsidR="00D74439" w:rsidRDefault="00D74439" w:rsidP="00C1162F">
            <w:pPr>
              <w:widowControl w:val="0"/>
              <w:autoSpaceDE w:val="0"/>
              <w:autoSpaceDN w:val="0"/>
              <w:adjustRightInd w:val="0"/>
              <w:ind w:firstLine="105"/>
              <w:jc w:val="center"/>
            </w:pPr>
            <w:r>
              <w:t>24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24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firstLine="12"/>
            </w:pPr>
            <w:r>
              <w:t>14</w:t>
            </w:r>
          </w:p>
        </w:tc>
        <w:tc>
          <w:tcPr>
            <w:tcW w:w="1779" w:type="dxa"/>
            <w:vAlign w:val="center"/>
          </w:tcPr>
          <w:p w:rsidR="00D74439" w:rsidRDefault="00D74439" w:rsidP="00C1162F">
            <w:pPr>
              <w:widowControl w:val="0"/>
              <w:autoSpaceDE w:val="0"/>
              <w:autoSpaceDN w:val="0"/>
              <w:adjustRightInd w:val="0"/>
              <w:ind w:firstLine="150"/>
              <w:jc w:val="center"/>
            </w:pPr>
            <w:r>
              <w:t>7.5</w:t>
            </w:r>
          </w:p>
        </w:tc>
        <w:tc>
          <w:tcPr>
            <w:tcW w:w="2340" w:type="dxa"/>
            <w:vAlign w:val="center"/>
          </w:tcPr>
          <w:p w:rsidR="00D74439" w:rsidRDefault="00D74439" w:rsidP="00C1162F">
            <w:pPr>
              <w:widowControl w:val="0"/>
              <w:autoSpaceDE w:val="0"/>
              <w:autoSpaceDN w:val="0"/>
              <w:adjustRightInd w:val="0"/>
              <w:ind w:firstLine="105"/>
              <w:jc w:val="center"/>
            </w:pPr>
            <w:r>
              <w:t>17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17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firstLine="12"/>
            </w:pPr>
            <w:r>
              <w:t>20</w:t>
            </w:r>
          </w:p>
        </w:tc>
        <w:tc>
          <w:tcPr>
            <w:tcW w:w="1779" w:type="dxa"/>
            <w:vAlign w:val="center"/>
          </w:tcPr>
          <w:p w:rsidR="00D74439" w:rsidRDefault="00D74439" w:rsidP="00C1162F">
            <w:pPr>
              <w:widowControl w:val="0"/>
              <w:autoSpaceDE w:val="0"/>
              <w:autoSpaceDN w:val="0"/>
              <w:adjustRightInd w:val="0"/>
              <w:jc w:val="center"/>
            </w:pPr>
            <w:r>
              <w:t>8</w:t>
            </w:r>
          </w:p>
        </w:tc>
        <w:tc>
          <w:tcPr>
            <w:tcW w:w="2340" w:type="dxa"/>
            <w:vAlign w:val="center"/>
          </w:tcPr>
          <w:p w:rsidR="00D74439" w:rsidRDefault="00D74439" w:rsidP="00C1162F">
            <w:pPr>
              <w:widowControl w:val="0"/>
              <w:autoSpaceDE w:val="0"/>
              <w:autoSpaceDN w:val="0"/>
              <w:adjustRightInd w:val="0"/>
              <w:ind w:firstLine="105"/>
              <w:jc w:val="center"/>
            </w:pPr>
            <w:r>
              <w:t>16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16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firstLine="12"/>
            </w:pPr>
            <w:r>
              <w:t>40</w:t>
            </w:r>
          </w:p>
        </w:tc>
        <w:tc>
          <w:tcPr>
            <w:tcW w:w="1779" w:type="dxa"/>
            <w:vAlign w:val="center"/>
          </w:tcPr>
          <w:p w:rsidR="00D74439" w:rsidRDefault="00D74439" w:rsidP="00C1162F">
            <w:pPr>
              <w:widowControl w:val="0"/>
              <w:autoSpaceDE w:val="0"/>
              <w:autoSpaceDN w:val="0"/>
              <w:adjustRightInd w:val="0"/>
              <w:jc w:val="center"/>
            </w:pPr>
            <w:r>
              <w:t>7</w:t>
            </w:r>
          </w:p>
        </w:tc>
        <w:tc>
          <w:tcPr>
            <w:tcW w:w="2340" w:type="dxa"/>
            <w:vAlign w:val="center"/>
          </w:tcPr>
          <w:p w:rsidR="00D74439" w:rsidRDefault="00D74439" w:rsidP="00C1162F">
            <w:pPr>
              <w:widowControl w:val="0"/>
              <w:autoSpaceDE w:val="0"/>
              <w:autoSpaceDN w:val="0"/>
              <w:adjustRightInd w:val="0"/>
              <w:ind w:firstLine="105"/>
              <w:jc w:val="center"/>
            </w:pPr>
            <w:r>
              <w:t>14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14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585" w:firstLine="12"/>
            </w:pPr>
            <w:r>
              <w:t>60</w:t>
            </w:r>
          </w:p>
        </w:tc>
        <w:tc>
          <w:tcPr>
            <w:tcW w:w="1779" w:type="dxa"/>
            <w:vAlign w:val="center"/>
          </w:tcPr>
          <w:p w:rsidR="00D74439" w:rsidRDefault="00D74439" w:rsidP="00C1162F">
            <w:pPr>
              <w:widowControl w:val="0"/>
              <w:autoSpaceDE w:val="0"/>
              <w:autoSpaceDN w:val="0"/>
              <w:adjustRightInd w:val="0"/>
              <w:ind w:firstLine="168"/>
              <w:jc w:val="center"/>
            </w:pPr>
            <w:r>
              <w:t>5.5</w:t>
            </w:r>
          </w:p>
        </w:tc>
        <w:tc>
          <w:tcPr>
            <w:tcW w:w="2340" w:type="dxa"/>
            <w:vAlign w:val="center"/>
          </w:tcPr>
          <w:p w:rsidR="00D74439" w:rsidRDefault="00D74439" w:rsidP="00C1162F">
            <w:pPr>
              <w:widowControl w:val="0"/>
              <w:autoSpaceDE w:val="0"/>
              <w:autoSpaceDN w:val="0"/>
              <w:adjustRightInd w:val="0"/>
              <w:ind w:firstLine="105"/>
              <w:jc w:val="center"/>
            </w:pPr>
            <w:r>
              <w:t>16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16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711"/>
            </w:pPr>
            <w:r>
              <w:t>1 E</w:t>
            </w:r>
            <w:r w:rsidRPr="00F6004D">
              <w:rPr>
                <w:vertAlign w:val="superscript"/>
              </w:rPr>
              <w:t>2</w:t>
            </w:r>
          </w:p>
        </w:tc>
        <w:tc>
          <w:tcPr>
            <w:tcW w:w="1779" w:type="dxa"/>
            <w:vAlign w:val="center"/>
          </w:tcPr>
          <w:p w:rsidR="00D74439" w:rsidRDefault="00D74439" w:rsidP="00C1162F">
            <w:pPr>
              <w:widowControl w:val="0"/>
              <w:autoSpaceDE w:val="0"/>
              <w:autoSpaceDN w:val="0"/>
              <w:adjustRightInd w:val="0"/>
              <w:jc w:val="center"/>
            </w:pPr>
            <w:r>
              <w:t>4</w:t>
            </w:r>
          </w:p>
        </w:tc>
        <w:tc>
          <w:tcPr>
            <w:tcW w:w="2340" w:type="dxa"/>
            <w:vAlign w:val="center"/>
          </w:tcPr>
          <w:p w:rsidR="00D74439" w:rsidRDefault="00D74439" w:rsidP="00C1162F">
            <w:pPr>
              <w:widowControl w:val="0"/>
              <w:autoSpaceDE w:val="0"/>
              <w:autoSpaceDN w:val="0"/>
              <w:adjustRightInd w:val="0"/>
              <w:ind w:firstLine="105"/>
              <w:jc w:val="center"/>
            </w:pPr>
            <w:r>
              <w:t>20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20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711"/>
            </w:pPr>
            <w:r>
              <w:t>2 E</w:t>
            </w:r>
            <w:r w:rsidRPr="00F6004D">
              <w:rPr>
                <w:vertAlign w:val="superscript"/>
              </w:rPr>
              <w:t>2</w:t>
            </w:r>
          </w:p>
        </w:tc>
        <w:tc>
          <w:tcPr>
            <w:tcW w:w="1779" w:type="dxa"/>
            <w:vAlign w:val="center"/>
          </w:tcPr>
          <w:p w:rsidR="00D74439" w:rsidRDefault="00D74439" w:rsidP="00C1162F">
            <w:pPr>
              <w:widowControl w:val="0"/>
              <w:autoSpaceDE w:val="0"/>
              <w:autoSpaceDN w:val="0"/>
              <w:adjustRightInd w:val="0"/>
              <w:ind w:firstLine="150"/>
              <w:jc w:val="center"/>
            </w:pPr>
            <w:r>
              <w:t>3.5</w:t>
            </w:r>
          </w:p>
        </w:tc>
        <w:tc>
          <w:tcPr>
            <w:tcW w:w="2340" w:type="dxa"/>
            <w:vAlign w:val="center"/>
          </w:tcPr>
          <w:p w:rsidR="00D74439" w:rsidRDefault="00D74439" w:rsidP="00C1162F">
            <w:pPr>
              <w:widowControl w:val="0"/>
              <w:autoSpaceDE w:val="0"/>
              <w:autoSpaceDN w:val="0"/>
              <w:adjustRightInd w:val="0"/>
              <w:ind w:firstLine="105"/>
              <w:jc w:val="center"/>
            </w:pPr>
            <w:r>
              <w:t>19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19 E</w:t>
            </w:r>
            <w:r w:rsidRPr="00DC7998">
              <w:rPr>
                <w:vertAlign w:val="superscript"/>
              </w:rPr>
              <w:t>6</w:t>
            </w:r>
          </w:p>
        </w:tc>
      </w:tr>
      <w:tr w:rsidR="00D74439">
        <w:tblPrEx>
          <w:tblCellMar>
            <w:top w:w="0" w:type="dxa"/>
            <w:bottom w:w="0" w:type="dxa"/>
          </w:tblCellMar>
        </w:tblPrEx>
        <w:tc>
          <w:tcPr>
            <w:tcW w:w="2334" w:type="dxa"/>
            <w:vAlign w:val="center"/>
          </w:tcPr>
          <w:p w:rsidR="00D74439" w:rsidRDefault="00D74439" w:rsidP="00C1162F">
            <w:pPr>
              <w:widowControl w:val="0"/>
              <w:autoSpaceDE w:val="0"/>
              <w:autoSpaceDN w:val="0"/>
              <w:adjustRightInd w:val="0"/>
              <w:ind w:left="711"/>
            </w:pPr>
            <w:r>
              <w:t>3 E</w:t>
            </w:r>
            <w:r w:rsidRPr="00F6004D">
              <w:rPr>
                <w:vertAlign w:val="superscript"/>
              </w:rPr>
              <w:t>2</w:t>
            </w:r>
          </w:p>
        </w:tc>
        <w:tc>
          <w:tcPr>
            <w:tcW w:w="1779" w:type="dxa"/>
            <w:vAlign w:val="center"/>
          </w:tcPr>
          <w:p w:rsidR="00D74439" w:rsidRDefault="00D74439" w:rsidP="00C1162F">
            <w:pPr>
              <w:widowControl w:val="0"/>
              <w:autoSpaceDE w:val="0"/>
              <w:autoSpaceDN w:val="0"/>
              <w:adjustRightInd w:val="0"/>
              <w:ind w:firstLine="150"/>
              <w:jc w:val="center"/>
            </w:pPr>
            <w:r>
              <w:t>3.5</w:t>
            </w:r>
          </w:p>
        </w:tc>
        <w:tc>
          <w:tcPr>
            <w:tcW w:w="2340" w:type="dxa"/>
            <w:vAlign w:val="center"/>
          </w:tcPr>
          <w:p w:rsidR="00D74439" w:rsidRDefault="00D74439" w:rsidP="00C1162F">
            <w:pPr>
              <w:widowControl w:val="0"/>
              <w:autoSpaceDE w:val="0"/>
              <w:autoSpaceDN w:val="0"/>
              <w:adjustRightInd w:val="0"/>
              <w:ind w:firstLine="105"/>
              <w:jc w:val="center"/>
            </w:pPr>
            <w:r>
              <w:t>16 E</w:t>
            </w:r>
            <w:r w:rsidRPr="00DC7998">
              <w:rPr>
                <w:vertAlign w:val="superscript"/>
              </w:rPr>
              <w:t>8</w:t>
            </w:r>
          </w:p>
        </w:tc>
        <w:tc>
          <w:tcPr>
            <w:tcW w:w="2289" w:type="dxa"/>
            <w:vAlign w:val="center"/>
          </w:tcPr>
          <w:p w:rsidR="00D74439" w:rsidRDefault="00D74439" w:rsidP="00C1162F">
            <w:pPr>
              <w:widowControl w:val="0"/>
              <w:autoSpaceDE w:val="0"/>
              <w:autoSpaceDN w:val="0"/>
              <w:adjustRightInd w:val="0"/>
              <w:ind w:firstLine="105"/>
              <w:jc w:val="center"/>
            </w:pPr>
            <w:r>
              <w:t>16 E</w:t>
            </w:r>
            <w:r w:rsidRPr="00DC7998">
              <w:rPr>
                <w:vertAlign w:val="superscript"/>
              </w:rPr>
              <w:t>6</w:t>
            </w:r>
          </w:p>
        </w:tc>
      </w:tr>
      <w:tr w:rsidR="00D74439">
        <w:tblPrEx>
          <w:tblCellMar>
            <w:top w:w="0" w:type="dxa"/>
            <w:bottom w:w="0" w:type="dxa"/>
          </w:tblCellMar>
        </w:tblPrEx>
        <w:trPr>
          <w:trHeight w:val="477"/>
        </w:trPr>
        <w:tc>
          <w:tcPr>
            <w:tcW w:w="2334" w:type="dxa"/>
          </w:tcPr>
          <w:p w:rsidR="00D74439" w:rsidRDefault="00D74439" w:rsidP="00C1162F">
            <w:pPr>
              <w:widowControl w:val="0"/>
              <w:autoSpaceDE w:val="0"/>
              <w:autoSpaceDN w:val="0"/>
              <w:adjustRightInd w:val="0"/>
              <w:ind w:left="711"/>
            </w:pPr>
            <w:r>
              <w:t>4 E</w:t>
            </w:r>
            <w:r w:rsidRPr="00F6004D">
              <w:rPr>
                <w:vertAlign w:val="superscript"/>
              </w:rPr>
              <w:t>2</w:t>
            </w:r>
          </w:p>
        </w:tc>
        <w:tc>
          <w:tcPr>
            <w:tcW w:w="1779" w:type="dxa"/>
          </w:tcPr>
          <w:p w:rsidR="00D74439" w:rsidRDefault="00D74439" w:rsidP="00C1162F">
            <w:pPr>
              <w:widowControl w:val="0"/>
              <w:autoSpaceDE w:val="0"/>
              <w:autoSpaceDN w:val="0"/>
              <w:adjustRightInd w:val="0"/>
              <w:ind w:firstLine="150"/>
              <w:jc w:val="center"/>
            </w:pPr>
            <w:r>
              <w:t>3.5</w:t>
            </w:r>
          </w:p>
        </w:tc>
        <w:tc>
          <w:tcPr>
            <w:tcW w:w="2340" w:type="dxa"/>
          </w:tcPr>
          <w:p w:rsidR="00D74439" w:rsidRDefault="00D74439" w:rsidP="00C1162F">
            <w:pPr>
              <w:widowControl w:val="0"/>
              <w:autoSpaceDE w:val="0"/>
              <w:autoSpaceDN w:val="0"/>
              <w:adjustRightInd w:val="0"/>
              <w:ind w:firstLine="105"/>
              <w:jc w:val="center"/>
            </w:pPr>
            <w:r>
              <w:t>14 E</w:t>
            </w:r>
            <w:r w:rsidRPr="00DC7998">
              <w:rPr>
                <w:vertAlign w:val="superscript"/>
              </w:rPr>
              <w:t>8</w:t>
            </w:r>
          </w:p>
        </w:tc>
        <w:tc>
          <w:tcPr>
            <w:tcW w:w="2289" w:type="dxa"/>
          </w:tcPr>
          <w:p w:rsidR="00D74439" w:rsidRDefault="00D74439" w:rsidP="00C1162F">
            <w:pPr>
              <w:widowControl w:val="0"/>
              <w:autoSpaceDE w:val="0"/>
              <w:autoSpaceDN w:val="0"/>
              <w:adjustRightInd w:val="0"/>
              <w:ind w:firstLine="105"/>
              <w:jc w:val="center"/>
            </w:pPr>
            <w:r>
              <w:t>14 E</w:t>
            </w:r>
            <w:r w:rsidRPr="00DC7998">
              <w:rPr>
                <w:vertAlign w:val="superscript"/>
              </w:rPr>
              <w:t>6</w:t>
            </w:r>
          </w:p>
        </w:tc>
      </w:tr>
      <w:tr w:rsidR="00D74439">
        <w:tblPrEx>
          <w:tblCellMar>
            <w:top w:w="0" w:type="dxa"/>
            <w:bottom w:w="0" w:type="dxa"/>
          </w:tblCellMar>
        </w:tblPrEx>
        <w:trPr>
          <w:trHeight w:val="675"/>
        </w:trPr>
        <w:tc>
          <w:tcPr>
            <w:tcW w:w="8742" w:type="dxa"/>
            <w:gridSpan w:val="4"/>
          </w:tcPr>
          <w:p w:rsidR="00D74439" w:rsidRPr="00F6004D" w:rsidRDefault="00D74439" w:rsidP="00C1162F">
            <w:pPr>
              <w:widowControl w:val="0"/>
              <w:autoSpaceDE w:val="0"/>
              <w:autoSpaceDN w:val="0"/>
              <w:adjustRightInd w:val="0"/>
              <w:ind w:left="483" w:hanging="228"/>
            </w:pPr>
            <w:r w:rsidRPr="00F6004D">
              <w:rPr>
                <w:vertAlign w:val="superscript"/>
              </w:rPr>
              <w:t>a</w:t>
            </w:r>
            <w:r>
              <w:rPr>
                <w:vertAlign w:val="superscript"/>
              </w:rPr>
              <w:tab/>
            </w:r>
            <w:r>
              <w:t>Value of quality factor (Q) at the point where the dose equivalent is maximum in a 30-centimeter diameter cylinder tissue-equivalent phantom.</w:t>
            </w:r>
          </w:p>
        </w:tc>
      </w:tr>
      <w:tr w:rsidR="00D74439">
        <w:tblPrEx>
          <w:tblCellMar>
            <w:top w:w="0" w:type="dxa"/>
            <w:bottom w:w="0" w:type="dxa"/>
          </w:tblCellMar>
        </w:tblPrEx>
        <w:tc>
          <w:tcPr>
            <w:tcW w:w="8742" w:type="dxa"/>
            <w:gridSpan w:val="4"/>
          </w:tcPr>
          <w:p w:rsidR="00D74439" w:rsidRPr="00F6004D" w:rsidRDefault="00D74439" w:rsidP="00C1162F">
            <w:pPr>
              <w:widowControl w:val="0"/>
              <w:autoSpaceDE w:val="0"/>
              <w:autoSpaceDN w:val="0"/>
              <w:adjustRightInd w:val="0"/>
              <w:ind w:left="483" w:hanging="228"/>
            </w:pPr>
            <w:r w:rsidRPr="00F6004D">
              <w:rPr>
                <w:vertAlign w:val="superscript"/>
              </w:rPr>
              <w:t>b</w:t>
            </w:r>
            <w:r>
              <w:rPr>
                <w:vertAlign w:val="superscript"/>
              </w:rPr>
              <w:tab/>
            </w:r>
            <w:proofErr w:type="spellStart"/>
            <w:r>
              <w:t>Monoenergetic</w:t>
            </w:r>
            <w:proofErr w:type="spellEnd"/>
            <w:r>
              <w:t xml:space="preserve"> neutrons incident normally on a 30-centimeter diameter cylinder tissue-equivalent phantom.</w:t>
            </w:r>
          </w:p>
        </w:tc>
      </w:tr>
    </w:tbl>
    <w:p w:rsidR="00B25F24" w:rsidRDefault="00B25F24" w:rsidP="00B25F24">
      <w:pPr>
        <w:widowControl w:val="0"/>
        <w:autoSpaceDE w:val="0"/>
        <w:autoSpaceDN w:val="0"/>
        <w:adjustRightInd w:val="0"/>
      </w:pPr>
    </w:p>
    <w:p w:rsidR="00B25F24" w:rsidRDefault="004C134C" w:rsidP="00B25F24">
      <w:pPr>
        <w:widowControl w:val="0"/>
        <w:autoSpaceDE w:val="0"/>
        <w:autoSpaceDN w:val="0"/>
        <w:adjustRightInd w:val="0"/>
        <w:ind w:left="1440" w:hanging="720"/>
      </w:pPr>
      <w:r>
        <w:t xml:space="preserve"> </w:t>
      </w:r>
      <w:r w:rsidR="00B25F24">
        <w:t xml:space="preserve">(Source:  Amended at 23 Ill. Reg. 14454, effective January 1, 2000) </w:t>
      </w:r>
    </w:p>
    <w:sectPr w:rsidR="00B25F24" w:rsidSect="00B25F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5F24"/>
    <w:rsid w:val="002B1245"/>
    <w:rsid w:val="00384524"/>
    <w:rsid w:val="00492F44"/>
    <w:rsid w:val="004C134C"/>
    <w:rsid w:val="005049EC"/>
    <w:rsid w:val="00511217"/>
    <w:rsid w:val="005C3366"/>
    <w:rsid w:val="009E5BA3"/>
    <w:rsid w:val="00A00A41"/>
    <w:rsid w:val="00B25F24"/>
    <w:rsid w:val="00C1162F"/>
    <w:rsid w:val="00CA6311"/>
    <w:rsid w:val="00D158DF"/>
    <w:rsid w:val="00D74439"/>
    <w:rsid w:val="00DC7998"/>
    <w:rsid w:val="00F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