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E7" w:rsidRDefault="00E93892" w:rsidP="00EB7D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 </w:t>
      </w:r>
    </w:p>
    <w:p w:rsidR="00EB7DE7" w:rsidRDefault="00EB7DE7" w:rsidP="00EB7D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336.50  Community Water Supply Testing Categories</w:t>
      </w:r>
      <w:r>
        <w:t xml:space="preserve"> </w:t>
      </w:r>
    </w:p>
    <w:p w:rsidR="00EB7DE7" w:rsidRDefault="00EB7DE7" w:rsidP="00EB7DE7">
      <w:pPr>
        <w:widowControl w:val="0"/>
        <w:autoSpaceDE w:val="0"/>
        <w:autoSpaceDN w:val="0"/>
        <w:adjustRightInd w:val="0"/>
      </w:pPr>
    </w:p>
    <w:p w:rsidR="00793F03" w:rsidRDefault="00793F03" w:rsidP="00EB7DE7">
      <w:pPr>
        <w:widowControl w:val="0"/>
        <w:autoSpaceDE w:val="0"/>
        <w:autoSpaceDN w:val="0"/>
        <w:adjustRightInd w:val="0"/>
      </w:pPr>
      <w:r>
        <w:t>For the purposes of this Part, the following testing categories shall initia</w:t>
      </w:r>
      <w:r w:rsidR="008C0E29">
        <w:t>l</w:t>
      </w:r>
      <w:r>
        <w:t>l</w:t>
      </w:r>
      <w:r w:rsidR="008C0E29">
        <w:t>y</w:t>
      </w:r>
      <w:r>
        <w:t xml:space="preserve"> be assigned to community water supplies based on drinking water testing results on file at IEPA as of November 16, 2007.</w:t>
      </w:r>
    </w:p>
    <w:p w:rsidR="00793F03" w:rsidRDefault="00793F03" w:rsidP="00EB7DE7">
      <w:pPr>
        <w:widowControl w:val="0"/>
        <w:autoSpaceDE w:val="0"/>
        <w:autoSpaceDN w:val="0"/>
        <w:adjustRightInd w:val="0"/>
      </w:pPr>
    </w:p>
    <w:tbl>
      <w:tblPr>
        <w:tblW w:w="7156" w:type="dxa"/>
        <w:tblInd w:w="1574" w:type="dxa"/>
        <w:tblLook w:val="0000" w:firstRow="0" w:lastRow="0" w:firstColumn="0" w:lastColumn="0" w:noHBand="0" w:noVBand="0"/>
      </w:tblPr>
      <w:tblGrid>
        <w:gridCol w:w="1504"/>
        <w:gridCol w:w="5652"/>
        <w:tblGridChange w:id="1">
          <w:tblGrid>
            <w:gridCol w:w="1504"/>
            <w:gridCol w:w="5652"/>
          </w:tblGrid>
        </w:tblGridChange>
      </w:tblGrid>
      <w:tr w:rsidR="00C93B53" w:rsidTr="00C93B5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504" w:type="dxa"/>
          </w:tcPr>
          <w:p w:rsidR="00C93B53" w:rsidRDefault="00C93B53" w:rsidP="00EB7DE7">
            <w:pPr>
              <w:widowControl w:val="0"/>
              <w:autoSpaceDE w:val="0"/>
              <w:autoSpaceDN w:val="0"/>
              <w:adjustRightInd w:val="0"/>
            </w:pPr>
            <w:r>
              <w:t>Category</w:t>
            </w:r>
          </w:p>
        </w:tc>
        <w:tc>
          <w:tcPr>
            <w:tcW w:w="5652" w:type="dxa"/>
          </w:tcPr>
          <w:p w:rsidR="00C93B53" w:rsidRDefault="00C93B53" w:rsidP="00E93892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Service</w:t>
            </w:r>
          </w:p>
        </w:tc>
      </w:tr>
      <w:tr w:rsidR="00793F03" w:rsidTr="00C93B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04" w:type="dxa"/>
          </w:tcPr>
          <w:p w:rsidR="00793F03" w:rsidRDefault="00793F03" w:rsidP="00EB7DE7">
            <w:pPr>
              <w:widowControl w:val="0"/>
              <w:autoSpaceDE w:val="0"/>
              <w:autoSpaceDN w:val="0"/>
              <w:adjustRightInd w:val="0"/>
            </w:pPr>
            <w:r>
              <w:t>4109</w:t>
            </w:r>
          </w:p>
        </w:tc>
        <w:tc>
          <w:tcPr>
            <w:tcW w:w="5652" w:type="dxa"/>
          </w:tcPr>
          <w:p w:rsidR="00793F03" w:rsidRDefault="00793F03" w:rsidP="00E93892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Gross alpha analysis</w:t>
            </w:r>
          </w:p>
        </w:tc>
      </w:tr>
      <w:tr w:rsidR="00793F03" w:rsidTr="00C93B5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04" w:type="dxa"/>
          </w:tcPr>
          <w:p w:rsidR="00793F03" w:rsidRDefault="00793F03" w:rsidP="00EB7DE7">
            <w:pPr>
              <w:widowControl w:val="0"/>
              <w:autoSpaceDE w:val="0"/>
              <w:autoSpaceDN w:val="0"/>
              <w:adjustRightInd w:val="0"/>
            </w:pPr>
            <w:r>
              <w:t>4006</w:t>
            </w:r>
          </w:p>
        </w:tc>
        <w:tc>
          <w:tcPr>
            <w:tcW w:w="5652" w:type="dxa"/>
          </w:tcPr>
          <w:p w:rsidR="00793F03" w:rsidRDefault="00793F03" w:rsidP="00E93892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Total uranium analysis</w:t>
            </w:r>
          </w:p>
        </w:tc>
      </w:tr>
      <w:tr w:rsidR="00793F03" w:rsidTr="00C93B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04" w:type="dxa"/>
          </w:tcPr>
          <w:p w:rsidR="00793F03" w:rsidRDefault="00793F03" w:rsidP="00EB7DE7">
            <w:pPr>
              <w:widowControl w:val="0"/>
              <w:autoSpaceDE w:val="0"/>
              <w:autoSpaceDN w:val="0"/>
              <w:adjustRightInd w:val="0"/>
            </w:pPr>
            <w:r>
              <w:t>4010</w:t>
            </w:r>
          </w:p>
        </w:tc>
        <w:tc>
          <w:tcPr>
            <w:tcW w:w="5652" w:type="dxa"/>
          </w:tcPr>
          <w:p w:rsidR="00793F03" w:rsidRDefault="00793F03" w:rsidP="00E93892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Radium-226 and radium-228 analysis</w:t>
            </w:r>
          </w:p>
        </w:tc>
      </w:tr>
      <w:tr w:rsidR="00793F03" w:rsidTr="00C93B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04" w:type="dxa"/>
          </w:tcPr>
          <w:p w:rsidR="00793F03" w:rsidRDefault="00793F03" w:rsidP="00EB7DE7">
            <w:pPr>
              <w:widowControl w:val="0"/>
              <w:autoSpaceDE w:val="0"/>
              <w:autoSpaceDN w:val="0"/>
              <w:adjustRightInd w:val="0"/>
            </w:pPr>
            <w:r>
              <w:t>RDS</w:t>
            </w:r>
          </w:p>
        </w:tc>
        <w:tc>
          <w:tcPr>
            <w:tcW w:w="5652" w:type="dxa"/>
          </w:tcPr>
          <w:p w:rsidR="00793F03" w:rsidRDefault="00793F03" w:rsidP="00E93892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Gross alpha, radium</w:t>
            </w:r>
            <w:r w:rsidR="00C569D5">
              <w:t>-226 and radium-228 analysis</w:t>
            </w:r>
          </w:p>
        </w:tc>
      </w:tr>
      <w:tr w:rsidR="00793F03" w:rsidTr="00C93B5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04" w:type="dxa"/>
          </w:tcPr>
          <w:p w:rsidR="00793F03" w:rsidRDefault="00C569D5" w:rsidP="00EB7DE7">
            <w:pPr>
              <w:widowControl w:val="0"/>
              <w:autoSpaceDE w:val="0"/>
              <w:autoSpaceDN w:val="0"/>
              <w:adjustRightInd w:val="0"/>
            </w:pPr>
            <w:r>
              <w:t>RDU</w:t>
            </w:r>
          </w:p>
        </w:tc>
        <w:tc>
          <w:tcPr>
            <w:tcW w:w="5652" w:type="dxa"/>
          </w:tcPr>
          <w:p w:rsidR="00793F03" w:rsidRDefault="00C569D5" w:rsidP="00E93892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Gross alpha, radium-226, radium-228 and total uranium</w:t>
            </w:r>
            <w:r w:rsidR="003F72B6">
              <w:t xml:space="preserve"> analysis</w:t>
            </w:r>
          </w:p>
        </w:tc>
      </w:tr>
    </w:tbl>
    <w:p w:rsidR="00793F03" w:rsidRDefault="00793F03" w:rsidP="00EB7DE7">
      <w:pPr>
        <w:widowControl w:val="0"/>
        <w:autoSpaceDE w:val="0"/>
        <w:autoSpaceDN w:val="0"/>
        <w:adjustRightInd w:val="0"/>
      </w:pPr>
    </w:p>
    <w:p w:rsidR="00C569D5" w:rsidRPr="009420FA" w:rsidRDefault="00C569D5" w:rsidP="009420FA">
      <w:r w:rsidRPr="009420FA">
        <w:t xml:space="preserve">AGENCY NOTE:  If gross alpha result is greater than 15 </w:t>
      </w:r>
      <w:proofErr w:type="spellStart"/>
      <w:r w:rsidRPr="009420FA">
        <w:t>pCi</w:t>
      </w:r>
      <w:proofErr w:type="spellEnd"/>
      <w:r w:rsidRPr="009420FA">
        <w:t>/L, IEPA requires an additional total uranium analysis (4006).</w:t>
      </w:r>
    </w:p>
    <w:p w:rsidR="00C569D5" w:rsidRDefault="00C569D5" w:rsidP="00EB7DE7">
      <w:pPr>
        <w:widowControl w:val="0"/>
        <w:autoSpaceDE w:val="0"/>
        <w:autoSpaceDN w:val="0"/>
        <w:adjustRightInd w:val="0"/>
      </w:pPr>
    </w:p>
    <w:p w:rsidR="00C569D5" w:rsidRPr="00D55B37" w:rsidRDefault="00C569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B7108">
        <w:t>2</w:t>
      </w:r>
      <w:r>
        <w:t xml:space="preserve"> I</w:t>
      </w:r>
      <w:r w:rsidRPr="00D55B37">
        <w:t xml:space="preserve">ll. Reg. </w:t>
      </w:r>
      <w:r w:rsidR="00A97B1D">
        <w:t>2585</w:t>
      </w:r>
      <w:r w:rsidRPr="00D55B37">
        <w:t xml:space="preserve">, effective </w:t>
      </w:r>
      <w:r w:rsidR="00A97B1D">
        <w:t>February 4, 2008</w:t>
      </w:r>
      <w:r w:rsidRPr="00D55B37">
        <w:t>)</w:t>
      </w:r>
    </w:p>
    <w:sectPr w:rsidR="00C569D5" w:rsidRPr="00D55B37" w:rsidSect="00EB7D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DE7"/>
    <w:rsid w:val="00013D7B"/>
    <w:rsid w:val="000874FB"/>
    <w:rsid w:val="000D62D7"/>
    <w:rsid w:val="001E3442"/>
    <w:rsid w:val="003F72B6"/>
    <w:rsid w:val="0041372E"/>
    <w:rsid w:val="0042492F"/>
    <w:rsid w:val="00572D73"/>
    <w:rsid w:val="005C3366"/>
    <w:rsid w:val="00793F03"/>
    <w:rsid w:val="00863F8E"/>
    <w:rsid w:val="008C0E29"/>
    <w:rsid w:val="009045A3"/>
    <w:rsid w:val="009420FA"/>
    <w:rsid w:val="00982F66"/>
    <w:rsid w:val="00A97B1D"/>
    <w:rsid w:val="00B726B9"/>
    <w:rsid w:val="00C569D5"/>
    <w:rsid w:val="00C93B53"/>
    <w:rsid w:val="00CF5132"/>
    <w:rsid w:val="00D358B7"/>
    <w:rsid w:val="00D46847"/>
    <w:rsid w:val="00D60B95"/>
    <w:rsid w:val="00E93892"/>
    <w:rsid w:val="00EB7DE7"/>
    <w:rsid w:val="00EC7BBB"/>
    <w:rsid w:val="00F20919"/>
    <w:rsid w:val="00F21ADC"/>
    <w:rsid w:val="00F7125E"/>
    <w:rsid w:val="00F97B94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492F"/>
  </w:style>
  <w:style w:type="paragraph" w:styleId="EndnoteText">
    <w:name w:val="endnote text"/>
    <w:basedOn w:val="Normal"/>
    <w:semiHidden/>
    <w:rsid w:val="0042492F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492F"/>
  </w:style>
  <w:style w:type="paragraph" w:styleId="EndnoteText">
    <w:name w:val="endnote text"/>
    <w:basedOn w:val="Normal"/>
    <w:semiHidden/>
    <w:rsid w:val="0042492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