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B2" w:rsidRDefault="000B32B2" w:rsidP="000B32B2">
      <w:pPr>
        <w:widowControl w:val="0"/>
        <w:autoSpaceDE w:val="0"/>
        <w:autoSpaceDN w:val="0"/>
        <w:adjustRightInd w:val="0"/>
      </w:pPr>
      <w:bookmarkStart w:id="0" w:name="_GoBack"/>
      <w:bookmarkEnd w:id="0"/>
    </w:p>
    <w:p w:rsidR="000B32B2" w:rsidRDefault="000B32B2" w:rsidP="000B32B2">
      <w:pPr>
        <w:widowControl w:val="0"/>
        <w:autoSpaceDE w:val="0"/>
        <w:autoSpaceDN w:val="0"/>
        <w:adjustRightInd w:val="0"/>
      </w:pPr>
      <w:r>
        <w:rPr>
          <w:b/>
          <w:bCs/>
        </w:rPr>
        <w:t>Section 340.1052  Classification of Radioactive Waste for Land Disposal</w:t>
      </w:r>
      <w:r>
        <w:t xml:space="preserve"> </w:t>
      </w:r>
    </w:p>
    <w:p w:rsidR="000B32B2" w:rsidRDefault="000B32B2" w:rsidP="000B32B2">
      <w:pPr>
        <w:widowControl w:val="0"/>
        <w:autoSpaceDE w:val="0"/>
        <w:autoSpaceDN w:val="0"/>
        <w:adjustRightInd w:val="0"/>
      </w:pPr>
    </w:p>
    <w:p w:rsidR="000B32B2" w:rsidRDefault="000B32B2" w:rsidP="000B32B2">
      <w:pPr>
        <w:widowControl w:val="0"/>
        <w:autoSpaceDE w:val="0"/>
        <w:autoSpaceDN w:val="0"/>
        <w:adjustRightInd w:val="0"/>
        <w:ind w:left="1440" w:hanging="720"/>
      </w:pPr>
      <w:r>
        <w:t>a)</w:t>
      </w:r>
      <w:r>
        <w:tab/>
        <w:t xml:space="preserve">Considerations.  Determination of the classification of radioactive waste involves two considerations.  First, consideration must be given to the concentration of long-lived radionuclides (and their shorter-lived precursors) whose potential hazard will persist long after such precautions as institutional controls, improved waste form and deeper disposal have ceased to be effective.  These precautions delay the time when long-lived radionuclides could cause exposures.  In addition, the magnitude of the potential dose is limited by the concentration and availability of the radionuclide at the time of exposure.  Second, consideration must be given to the concentration of shorter-lived radionuclides for which requirements on institutional controls, waste form and disposal methods are effective. </w:t>
      </w:r>
    </w:p>
    <w:p w:rsidR="00E22826" w:rsidRDefault="00E22826" w:rsidP="000B32B2">
      <w:pPr>
        <w:widowControl w:val="0"/>
        <w:autoSpaceDE w:val="0"/>
        <w:autoSpaceDN w:val="0"/>
        <w:adjustRightInd w:val="0"/>
        <w:ind w:left="1440" w:hanging="720"/>
      </w:pPr>
    </w:p>
    <w:p w:rsidR="000B32B2" w:rsidRDefault="000B32B2" w:rsidP="000B32B2">
      <w:pPr>
        <w:widowControl w:val="0"/>
        <w:autoSpaceDE w:val="0"/>
        <w:autoSpaceDN w:val="0"/>
        <w:adjustRightInd w:val="0"/>
        <w:ind w:left="1440" w:hanging="720"/>
      </w:pPr>
      <w:r>
        <w:t>b)</w:t>
      </w:r>
      <w:r>
        <w:tab/>
        <w:t xml:space="preserve">Classes of waste. </w:t>
      </w:r>
    </w:p>
    <w:p w:rsidR="00E22826" w:rsidRDefault="00E22826" w:rsidP="000B32B2">
      <w:pPr>
        <w:widowControl w:val="0"/>
        <w:autoSpaceDE w:val="0"/>
        <w:autoSpaceDN w:val="0"/>
        <w:adjustRightInd w:val="0"/>
        <w:ind w:left="2160" w:hanging="720"/>
      </w:pPr>
    </w:p>
    <w:p w:rsidR="000B32B2" w:rsidRDefault="000B32B2" w:rsidP="000B32B2">
      <w:pPr>
        <w:widowControl w:val="0"/>
        <w:autoSpaceDE w:val="0"/>
        <w:autoSpaceDN w:val="0"/>
        <w:adjustRightInd w:val="0"/>
        <w:ind w:left="2160" w:hanging="720"/>
      </w:pPr>
      <w:r>
        <w:t>1)</w:t>
      </w:r>
      <w:r>
        <w:tab/>
        <w:t>Class A waste is waste that is usually segregated from other waste classes at the disposal site.  The physical form and characteristics of Class A waste must meet the minimum requirements set forth in Section 340.1055(a)</w:t>
      </w:r>
      <w:r w:rsidR="00973A61">
        <w:t xml:space="preserve"> of this Part</w:t>
      </w:r>
      <w:r>
        <w:t>.  If Class A waste also meets the stability requirements set forth in Section 340.1055(b)</w:t>
      </w:r>
      <w:r w:rsidR="00973A61">
        <w:t xml:space="preserve"> of this Part</w:t>
      </w:r>
      <w:r>
        <w:t xml:space="preserve">, it is not necessary to segregate the waste for disposal. </w:t>
      </w:r>
    </w:p>
    <w:p w:rsidR="00E22826" w:rsidRDefault="00E22826" w:rsidP="000B32B2">
      <w:pPr>
        <w:widowControl w:val="0"/>
        <w:autoSpaceDE w:val="0"/>
        <w:autoSpaceDN w:val="0"/>
        <w:adjustRightInd w:val="0"/>
        <w:ind w:left="2160" w:hanging="720"/>
      </w:pPr>
    </w:p>
    <w:p w:rsidR="000B32B2" w:rsidRDefault="000B32B2" w:rsidP="000B32B2">
      <w:pPr>
        <w:widowControl w:val="0"/>
        <w:autoSpaceDE w:val="0"/>
        <w:autoSpaceDN w:val="0"/>
        <w:adjustRightInd w:val="0"/>
        <w:ind w:left="2160" w:hanging="720"/>
      </w:pPr>
      <w:r>
        <w:t>2)</w:t>
      </w:r>
      <w:r>
        <w:tab/>
        <w:t>Class B waste is waste that must meet more rigorous requirements on waste form to ensure stability (as defined in 32 Ill. Adm. Code 601.20) after disposal.  The physical form and characteristics of Class B waste must meet both the minimum and stability requirements set forth in Section 340.1055</w:t>
      </w:r>
      <w:r w:rsidR="00973A61">
        <w:t xml:space="preserve"> of this Part</w:t>
      </w:r>
      <w:r>
        <w:t xml:space="preserve">. </w:t>
      </w:r>
    </w:p>
    <w:p w:rsidR="00E22826" w:rsidRDefault="00E22826" w:rsidP="000B32B2">
      <w:pPr>
        <w:widowControl w:val="0"/>
        <w:autoSpaceDE w:val="0"/>
        <w:autoSpaceDN w:val="0"/>
        <w:adjustRightInd w:val="0"/>
        <w:ind w:left="2160" w:hanging="720"/>
      </w:pPr>
    </w:p>
    <w:p w:rsidR="000B32B2" w:rsidRDefault="000B32B2" w:rsidP="000B32B2">
      <w:pPr>
        <w:widowControl w:val="0"/>
        <w:autoSpaceDE w:val="0"/>
        <w:autoSpaceDN w:val="0"/>
        <w:adjustRightInd w:val="0"/>
        <w:ind w:left="2160" w:hanging="720"/>
      </w:pPr>
      <w:r>
        <w:t>3)</w:t>
      </w:r>
      <w:r>
        <w:tab/>
        <w:t>Class C waste is waste that not only must meet more rigorous requirements on waste form to ensure stability but also requires additional measures at the disposal facility to protect against inadvertent intrusion.  The physical form and characteristics of Class C waste must meet both the minimum and stability requirements set forth in Section 340.1055</w:t>
      </w:r>
      <w:r w:rsidR="00973A61">
        <w:t xml:space="preserve"> of this Part</w:t>
      </w:r>
      <w:r>
        <w:t xml:space="preserve">. </w:t>
      </w:r>
    </w:p>
    <w:p w:rsidR="00E22826" w:rsidRDefault="00E22826" w:rsidP="000B32B2">
      <w:pPr>
        <w:widowControl w:val="0"/>
        <w:autoSpaceDE w:val="0"/>
        <w:autoSpaceDN w:val="0"/>
        <w:adjustRightInd w:val="0"/>
        <w:ind w:left="1440" w:hanging="720"/>
      </w:pPr>
    </w:p>
    <w:p w:rsidR="000B32B2" w:rsidRDefault="000B32B2" w:rsidP="000B32B2">
      <w:pPr>
        <w:widowControl w:val="0"/>
        <w:autoSpaceDE w:val="0"/>
        <w:autoSpaceDN w:val="0"/>
        <w:adjustRightInd w:val="0"/>
        <w:ind w:left="1440" w:hanging="720"/>
      </w:pPr>
      <w:r>
        <w:t>c)</w:t>
      </w:r>
      <w:r>
        <w:tab/>
        <w:t xml:space="preserve">Classification determined by long-lived radionuclides.  If the radioactive waste contains only radionuclides listed in Table 1 </w:t>
      </w:r>
      <w:r w:rsidR="00973A61">
        <w:t>of this Section</w:t>
      </w:r>
      <w:r>
        <w:t xml:space="preserve">, classification shall be determined as follows: </w:t>
      </w:r>
    </w:p>
    <w:p w:rsidR="00E22826" w:rsidRDefault="00E22826" w:rsidP="000B32B2">
      <w:pPr>
        <w:widowControl w:val="0"/>
        <w:autoSpaceDE w:val="0"/>
        <w:autoSpaceDN w:val="0"/>
        <w:adjustRightInd w:val="0"/>
        <w:ind w:left="2160" w:hanging="720"/>
      </w:pPr>
    </w:p>
    <w:p w:rsidR="000B32B2" w:rsidRDefault="000B32B2" w:rsidP="000B32B2">
      <w:pPr>
        <w:widowControl w:val="0"/>
        <w:autoSpaceDE w:val="0"/>
        <w:autoSpaceDN w:val="0"/>
        <w:adjustRightInd w:val="0"/>
        <w:ind w:left="2160" w:hanging="720"/>
      </w:pPr>
      <w:r>
        <w:t>1)</w:t>
      </w:r>
      <w:r>
        <w:tab/>
        <w:t xml:space="preserve">If the concentration does not exceed 0.1 times the value in Table 1, the waste is Class A. </w:t>
      </w:r>
    </w:p>
    <w:p w:rsidR="00E22826" w:rsidRDefault="00E22826" w:rsidP="000B32B2">
      <w:pPr>
        <w:widowControl w:val="0"/>
        <w:autoSpaceDE w:val="0"/>
        <w:autoSpaceDN w:val="0"/>
        <w:adjustRightInd w:val="0"/>
        <w:ind w:left="2160" w:hanging="720"/>
      </w:pPr>
    </w:p>
    <w:p w:rsidR="000B32B2" w:rsidRDefault="000B32B2" w:rsidP="000B32B2">
      <w:pPr>
        <w:widowControl w:val="0"/>
        <w:autoSpaceDE w:val="0"/>
        <w:autoSpaceDN w:val="0"/>
        <w:adjustRightInd w:val="0"/>
        <w:ind w:left="2160" w:hanging="720"/>
      </w:pPr>
      <w:r>
        <w:t>2)</w:t>
      </w:r>
      <w:r>
        <w:tab/>
        <w:t xml:space="preserve">If the concentration exceeds 0.1 times the value in Table 1, but does not exceed the value in Table 1, the waste is Class C. </w:t>
      </w:r>
    </w:p>
    <w:p w:rsidR="00E22826" w:rsidRDefault="00E22826" w:rsidP="000B32B2">
      <w:pPr>
        <w:widowControl w:val="0"/>
        <w:autoSpaceDE w:val="0"/>
        <w:autoSpaceDN w:val="0"/>
        <w:adjustRightInd w:val="0"/>
        <w:ind w:left="2160" w:hanging="720"/>
      </w:pPr>
    </w:p>
    <w:p w:rsidR="000B32B2" w:rsidRDefault="000B32B2" w:rsidP="000B32B2">
      <w:pPr>
        <w:widowControl w:val="0"/>
        <w:autoSpaceDE w:val="0"/>
        <w:autoSpaceDN w:val="0"/>
        <w:adjustRightInd w:val="0"/>
        <w:ind w:left="2160" w:hanging="720"/>
      </w:pPr>
      <w:r>
        <w:lastRenderedPageBreak/>
        <w:t>3)</w:t>
      </w:r>
      <w:r>
        <w:tab/>
        <w:t xml:space="preserve">If the concentration exceeds the value in Table 1, the waste is not generally acceptable for land disposal. </w:t>
      </w:r>
    </w:p>
    <w:p w:rsidR="00E22826" w:rsidRDefault="00E22826" w:rsidP="000B32B2">
      <w:pPr>
        <w:widowControl w:val="0"/>
        <w:autoSpaceDE w:val="0"/>
        <w:autoSpaceDN w:val="0"/>
        <w:adjustRightInd w:val="0"/>
        <w:ind w:left="2160" w:hanging="720"/>
      </w:pPr>
    </w:p>
    <w:p w:rsidR="000B32B2" w:rsidRDefault="000B32B2" w:rsidP="000B32B2">
      <w:pPr>
        <w:widowControl w:val="0"/>
        <w:autoSpaceDE w:val="0"/>
        <w:autoSpaceDN w:val="0"/>
        <w:adjustRightInd w:val="0"/>
        <w:ind w:left="2160" w:hanging="720"/>
      </w:pPr>
      <w:r>
        <w:t>4)</w:t>
      </w:r>
      <w:r>
        <w:tab/>
        <w:t xml:space="preserve">For wastes containing mixtures of radionuclides listed in Table 1, the total concentration shall be determined by the sum of fractions rule described in subsection (g) </w:t>
      </w:r>
      <w:r w:rsidR="00973A61">
        <w:t>of this Section</w:t>
      </w:r>
      <w:r>
        <w:t xml:space="preserve">. </w:t>
      </w:r>
    </w:p>
    <w:p w:rsidR="000B32B2" w:rsidRDefault="000B32B2" w:rsidP="000B32B2">
      <w:pPr>
        <w:widowControl w:val="0"/>
        <w:autoSpaceDE w:val="0"/>
        <w:autoSpaceDN w:val="0"/>
        <w:adjustRightInd w:val="0"/>
        <w:ind w:left="2160" w:hanging="720"/>
      </w:pPr>
    </w:p>
    <w:tbl>
      <w:tblPr>
        <w:tblW w:w="0" w:type="auto"/>
        <w:tblInd w:w="2331" w:type="dxa"/>
        <w:tblLook w:val="0000" w:firstRow="0" w:lastRow="0" w:firstColumn="0" w:lastColumn="0" w:noHBand="0" w:noVBand="0"/>
      </w:tblPr>
      <w:tblGrid>
        <w:gridCol w:w="3705"/>
        <w:gridCol w:w="2793"/>
      </w:tblGrid>
      <w:tr w:rsidR="00C06B21">
        <w:tblPrEx>
          <w:tblCellMar>
            <w:top w:w="0" w:type="dxa"/>
            <w:bottom w:w="0" w:type="dxa"/>
          </w:tblCellMar>
        </w:tblPrEx>
        <w:trPr>
          <w:trHeight w:val="495"/>
        </w:trPr>
        <w:tc>
          <w:tcPr>
            <w:tcW w:w="6498" w:type="dxa"/>
            <w:gridSpan w:val="2"/>
            <w:tcBorders>
              <w:bottom w:val="single" w:sz="4" w:space="0" w:color="auto"/>
            </w:tcBorders>
          </w:tcPr>
          <w:p w:rsidR="00C06B21" w:rsidRDefault="00C06B21" w:rsidP="00C1162F">
            <w:pPr>
              <w:widowControl w:val="0"/>
              <w:autoSpaceDE w:val="0"/>
              <w:autoSpaceDN w:val="0"/>
              <w:adjustRightInd w:val="0"/>
              <w:jc w:val="center"/>
            </w:pPr>
            <w:r>
              <w:t>Table 1</w:t>
            </w:r>
          </w:p>
        </w:tc>
      </w:tr>
      <w:tr w:rsidR="00C06B21">
        <w:tblPrEx>
          <w:tblCellMar>
            <w:top w:w="0" w:type="dxa"/>
            <w:bottom w:w="0" w:type="dxa"/>
          </w:tblCellMar>
        </w:tblPrEx>
        <w:trPr>
          <w:trHeight w:val="729"/>
        </w:trPr>
        <w:tc>
          <w:tcPr>
            <w:tcW w:w="3705" w:type="dxa"/>
            <w:tcBorders>
              <w:top w:val="single" w:sz="4" w:space="0" w:color="auto"/>
              <w:bottom w:val="single" w:sz="4" w:space="0" w:color="auto"/>
            </w:tcBorders>
            <w:vAlign w:val="center"/>
          </w:tcPr>
          <w:p w:rsidR="00C06B21" w:rsidRDefault="00C06B21" w:rsidP="00C1162F">
            <w:pPr>
              <w:widowControl w:val="0"/>
              <w:autoSpaceDE w:val="0"/>
              <w:autoSpaceDN w:val="0"/>
              <w:adjustRightInd w:val="0"/>
              <w:ind w:left="312"/>
            </w:pPr>
            <w:r>
              <w:t>Radionuclide</w:t>
            </w:r>
          </w:p>
        </w:tc>
        <w:tc>
          <w:tcPr>
            <w:tcW w:w="2793" w:type="dxa"/>
            <w:tcBorders>
              <w:top w:val="single" w:sz="4" w:space="0" w:color="auto"/>
              <w:bottom w:val="single" w:sz="4" w:space="0" w:color="auto"/>
            </w:tcBorders>
            <w:vAlign w:val="center"/>
          </w:tcPr>
          <w:p w:rsidR="00C06B21" w:rsidRDefault="00C06B21" w:rsidP="00C1162F">
            <w:pPr>
              <w:widowControl w:val="0"/>
              <w:autoSpaceDE w:val="0"/>
              <w:autoSpaceDN w:val="0"/>
              <w:adjustRightInd w:val="0"/>
              <w:jc w:val="center"/>
            </w:pPr>
            <w:r>
              <w:t>Concentration curies/cubic meter</w:t>
            </w:r>
          </w:p>
        </w:tc>
      </w:tr>
      <w:tr w:rsidR="00C06B21">
        <w:tblPrEx>
          <w:tblCellMar>
            <w:top w:w="0" w:type="dxa"/>
            <w:bottom w:w="0" w:type="dxa"/>
          </w:tblCellMar>
        </w:tblPrEx>
        <w:trPr>
          <w:trHeight w:val="395"/>
        </w:trPr>
        <w:tc>
          <w:tcPr>
            <w:tcW w:w="3705" w:type="dxa"/>
            <w:tcBorders>
              <w:top w:val="single" w:sz="4" w:space="0" w:color="auto"/>
            </w:tcBorders>
            <w:vAlign w:val="bottom"/>
          </w:tcPr>
          <w:p w:rsidR="00C06B21" w:rsidRDefault="00C06B21" w:rsidP="00C1162F">
            <w:pPr>
              <w:widowControl w:val="0"/>
              <w:autoSpaceDE w:val="0"/>
              <w:autoSpaceDN w:val="0"/>
              <w:adjustRightInd w:val="0"/>
              <w:ind w:left="312"/>
            </w:pPr>
            <w:r>
              <w:t>C-14</w:t>
            </w:r>
          </w:p>
        </w:tc>
        <w:tc>
          <w:tcPr>
            <w:tcW w:w="2793" w:type="dxa"/>
            <w:tcBorders>
              <w:top w:val="single" w:sz="4" w:space="0" w:color="auto"/>
            </w:tcBorders>
            <w:vAlign w:val="bottom"/>
          </w:tcPr>
          <w:p w:rsidR="00C06B21" w:rsidRDefault="00C06B21" w:rsidP="00C1162F">
            <w:pPr>
              <w:widowControl w:val="0"/>
              <w:autoSpaceDE w:val="0"/>
              <w:autoSpaceDN w:val="0"/>
              <w:adjustRightInd w:val="0"/>
              <w:ind w:right="759"/>
              <w:jc w:val="right"/>
            </w:pPr>
            <w:r>
              <w:t>8</w:t>
            </w:r>
          </w:p>
        </w:tc>
      </w:tr>
      <w:tr w:rsidR="00C06B21">
        <w:tblPrEx>
          <w:tblCellMar>
            <w:top w:w="0" w:type="dxa"/>
            <w:bottom w:w="0" w:type="dxa"/>
          </w:tblCellMar>
        </w:tblPrEx>
        <w:tc>
          <w:tcPr>
            <w:tcW w:w="3705" w:type="dxa"/>
          </w:tcPr>
          <w:p w:rsidR="00C06B21" w:rsidRDefault="00C06B21" w:rsidP="00C1162F">
            <w:pPr>
              <w:widowControl w:val="0"/>
              <w:autoSpaceDE w:val="0"/>
              <w:autoSpaceDN w:val="0"/>
              <w:adjustRightInd w:val="0"/>
              <w:ind w:left="312"/>
            </w:pPr>
            <w:r>
              <w:t>C-14 in activated metal</w:t>
            </w:r>
          </w:p>
        </w:tc>
        <w:tc>
          <w:tcPr>
            <w:tcW w:w="2793" w:type="dxa"/>
          </w:tcPr>
          <w:p w:rsidR="00C06B21" w:rsidRDefault="00C06B21" w:rsidP="00C1162F">
            <w:pPr>
              <w:widowControl w:val="0"/>
              <w:autoSpaceDE w:val="0"/>
              <w:autoSpaceDN w:val="0"/>
              <w:adjustRightInd w:val="0"/>
              <w:ind w:right="759"/>
              <w:jc w:val="right"/>
            </w:pPr>
            <w:r>
              <w:t>80</w:t>
            </w:r>
          </w:p>
        </w:tc>
      </w:tr>
      <w:tr w:rsidR="00C06B21">
        <w:tblPrEx>
          <w:tblCellMar>
            <w:top w:w="0" w:type="dxa"/>
            <w:bottom w:w="0" w:type="dxa"/>
          </w:tblCellMar>
        </w:tblPrEx>
        <w:tc>
          <w:tcPr>
            <w:tcW w:w="3705" w:type="dxa"/>
          </w:tcPr>
          <w:p w:rsidR="00C06B21" w:rsidRDefault="00C06B21" w:rsidP="00C1162F">
            <w:pPr>
              <w:widowControl w:val="0"/>
              <w:autoSpaceDE w:val="0"/>
              <w:autoSpaceDN w:val="0"/>
              <w:adjustRightInd w:val="0"/>
              <w:ind w:left="312"/>
            </w:pPr>
            <w:r>
              <w:t>Ni-59 in activated metal</w:t>
            </w:r>
          </w:p>
        </w:tc>
        <w:tc>
          <w:tcPr>
            <w:tcW w:w="2793" w:type="dxa"/>
          </w:tcPr>
          <w:p w:rsidR="00C06B21" w:rsidRDefault="00C06B21" w:rsidP="00C1162F">
            <w:pPr>
              <w:widowControl w:val="0"/>
              <w:autoSpaceDE w:val="0"/>
              <w:autoSpaceDN w:val="0"/>
              <w:adjustRightInd w:val="0"/>
              <w:ind w:right="759"/>
              <w:jc w:val="right"/>
            </w:pPr>
            <w:r>
              <w:t>220</w:t>
            </w:r>
          </w:p>
        </w:tc>
      </w:tr>
      <w:tr w:rsidR="00C06B21">
        <w:tblPrEx>
          <w:tblCellMar>
            <w:top w:w="0" w:type="dxa"/>
            <w:bottom w:w="0" w:type="dxa"/>
          </w:tblCellMar>
        </w:tblPrEx>
        <w:tc>
          <w:tcPr>
            <w:tcW w:w="3705" w:type="dxa"/>
          </w:tcPr>
          <w:p w:rsidR="00C06B21" w:rsidRDefault="00C06B21" w:rsidP="00C1162F">
            <w:pPr>
              <w:widowControl w:val="0"/>
              <w:autoSpaceDE w:val="0"/>
              <w:autoSpaceDN w:val="0"/>
              <w:adjustRightInd w:val="0"/>
              <w:ind w:left="312"/>
            </w:pPr>
            <w:r>
              <w:t>Nb-94 in activated metal</w:t>
            </w:r>
          </w:p>
        </w:tc>
        <w:tc>
          <w:tcPr>
            <w:tcW w:w="2793" w:type="dxa"/>
          </w:tcPr>
          <w:p w:rsidR="00C06B21" w:rsidRDefault="00C06B21" w:rsidP="00C1162F">
            <w:pPr>
              <w:widowControl w:val="0"/>
              <w:autoSpaceDE w:val="0"/>
              <w:autoSpaceDN w:val="0"/>
              <w:adjustRightInd w:val="0"/>
              <w:ind w:right="759"/>
              <w:jc w:val="right"/>
            </w:pPr>
            <w:r>
              <w:t>0.2</w:t>
            </w:r>
          </w:p>
        </w:tc>
      </w:tr>
      <w:tr w:rsidR="00C06B21">
        <w:tblPrEx>
          <w:tblCellMar>
            <w:top w:w="0" w:type="dxa"/>
            <w:bottom w:w="0" w:type="dxa"/>
          </w:tblCellMar>
        </w:tblPrEx>
        <w:tc>
          <w:tcPr>
            <w:tcW w:w="3705" w:type="dxa"/>
          </w:tcPr>
          <w:p w:rsidR="00C06B21" w:rsidRDefault="00C06B21" w:rsidP="00C1162F">
            <w:pPr>
              <w:widowControl w:val="0"/>
              <w:autoSpaceDE w:val="0"/>
              <w:autoSpaceDN w:val="0"/>
              <w:adjustRightInd w:val="0"/>
              <w:ind w:left="312"/>
            </w:pPr>
            <w:r>
              <w:t>Tc-99</w:t>
            </w:r>
          </w:p>
        </w:tc>
        <w:tc>
          <w:tcPr>
            <w:tcW w:w="2793" w:type="dxa"/>
          </w:tcPr>
          <w:p w:rsidR="00C06B21" w:rsidRDefault="00C06B21" w:rsidP="00C1162F">
            <w:pPr>
              <w:widowControl w:val="0"/>
              <w:autoSpaceDE w:val="0"/>
              <w:autoSpaceDN w:val="0"/>
              <w:adjustRightInd w:val="0"/>
              <w:ind w:right="759"/>
              <w:jc w:val="right"/>
            </w:pPr>
            <w:r>
              <w:t>3</w:t>
            </w:r>
          </w:p>
        </w:tc>
      </w:tr>
      <w:tr w:rsidR="00C06B21">
        <w:tblPrEx>
          <w:tblCellMar>
            <w:top w:w="0" w:type="dxa"/>
            <w:bottom w:w="0" w:type="dxa"/>
          </w:tblCellMar>
        </w:tblPrEx>
        <w:tc>
          <w:tcPr>
            <w:tcW w:w="3705" w:type="dxa"/>
          </w:tcPr>
          <w:p w:rsidR="00C06B21" w:rsidRDefault="00C06B21" w:rsidP="00C1162F">
            <w:pPr>
              <w:widowControl w:val="0"/>
              <w:autoSpaceDE w:val="0"/>
              <w:autoSpaceDN w:val="0"/>
              <w:adjustRightInd w:val="0"/>
              <w:ind w:left="312"/>
            </w:pPr>
            <w:r>
              <w:t>I-129</w:t>
            </w:r>
          </w:p>
        </w:tc>
        <w:tc>
          <w:tcPr>
            <w:tcW w:w="2793" w:type="dxa"/>
          </w:tcPr>
          <w:p w:rsidR="00C06B21" w:rsidRDefault="00C06B21" w:rsidP="00C1162F">
            <w:pPr>
              <w:widowControl w:val="0"/>
              <w:autoSpaceDE w:val="0"/>
              <w:autoSpaceDN w:val="0"/>
              <w:adjustRightInd w:val="0"/>
              <w:ind w:right="759"/>
              <w:jc w:val="right"/>
            </w:pPr>
            <w:r>
              <w:t>0.08</w:t>
            </w:r>
          </w:p>
        </w:tc>
      </w:tr>
      <w:tr w:rsidR="00C06B21">
        <w:tblPrEx>
          <w:tblCellMar>
            <w:top w:w="0" w:type="dxa"/>
            <w:bottom w:w="0" w:type="dxa"/>
          </w:tblCellMar>
        </w:tblPrEx>
        <w:tc>
          <w:tcPr>
            <w:tcW w:w="3705" w:type="dxa"/>
          </w:tcPr>
          <w:p w:rsidR="00C06B21" w:rsidRDefault="00C06B21" w:rsidP="00C1162F">
            <w:pPr>
              <w:widowControl w:val="0"/>
              <w:autoSpaceDE w:val="0"/>
              <w:autoSpaceDN w:val="0"/>
              <w:adjustRightInd w:val="0"/>
              <w:ind w:left="462" w:hanging="171"/>
            </w:pPr>
            <w:r>
              <w:t>Alpha emitting transuranic radionuclides with half-life greater than five years</w:t>
            </w:r>
          </w:p>
        </w:tc>
        <w:tc>
          <w:tcPr>
            <w:tcW w:w="2793" w:type="dxa"/>
          </w:tcPr>
          <w:p w:rsidR="00C06B21" w:rsidRDefault="00C06B21" w:rsidP="00C1162F">
            <w:pPr>
              <w:widowControl w:val="0"/>
              <w:autoSpaceDE w:val="0"/>
              <w:autoSpaceDN w:val="0"/>
              <w:adjustRightInd w:val="0"/>
              <w:ind w:right="759"/>
              <w:jc w:val="right"/>
            </w:pPr>
            <w:r>
              <w:t>100</w:t>
            </w:r>
          </w:p>
        </w:tc>
      </w:tr>
      <w:tr w:rsidR="00C06B21">
        <w:tblPrEx>
          <w:tblCellMar>
            <w:top w:w="0" w:type="dxa"/>
            <w:bottom w:w="0" w:type="dxa"/>
          </w:tblCellMar>
        </w:tblPrEx>
        <w:tc>
          <w:tcPr>
            <w:tcW w:w="3705" w:type="dxa"/>
          </w:tcPr>
          <w:p w:rsidR="00C06B21" w:rsidRDefault="00C06B21" w:rsidP="00C1162F">
            <w:pPr>
              <w:widowControl w:val="0"/>
              <w:autoSpaceDE w:val="0"/>
              <w:autoSpaceDN w:val="0"/>
              <w:adjustRightInd w:val="0"/>
              <w:ind w:left="312"/>
            </w:pPr>
            <w:r>
              <w:t>Pu-241</w:t>
            </w:r>
          </w:p>
        </w:tc>
        <w:tc>
          <w:tcPr>
            <w:tcW w:w="2793" w:type="dxa"/>
          </w:tcPr>
          <w:p w:rsidR="00C06B21" w:rsidRDefault="00C06B21" w:rsidP="00C1162F">
            <w:pPr>
              <w:widowControl w:val="0"/>
              <w:autoSpaceDE w:val="0"/>
              <w:autoSpaceDN w:val="0"/>
              <w:adjustRightInd w:val="0"/>
              <w:ind w:right="759"/>
              <w:jc w:val="right"/>
            </w:pPr>
            <w:r>
              <w:t>3,500</w:t>
            </w:r>
          </w:p>
        </w:tc>
      </w:tr>
      <w:tr w:rsidR="00C06B21">
        <w:tblPrEx>
          <w:tblCellMar>
            <w:top w:w="0" w:type="dxa"/>
            <w:bottom w:w="0" w:type="dxa"/>
          </w:tblCellMar>
        </w:tblPrEx>
        <w:tc>
          <w:tcPr>
            <w:tcW w:w="3705" w:type="dxa"/>
          </w:tcPr>
          <w:p w:rsidR="00C06B21" w:rsidRDefault="00C06B21" w:rsidP="00C1162F">
            <w:pPr>
              <w:widowControl w:val="0"/>
              <w:autoSpaceDE w:val="0"/>
              <w:autoSpaceDN w:val="0"/>
              <w:adjustRightInd w:val="0"/>
              <w:ind w:left="312"/>
            </w:pPr>
            <w:r>
              <w:t>Cm-242</w:t>
            </w:r>
          </w:p>
        </w:tc>
        <w:tc>
          <w:tcPr>
            <w:tcW w:w="2793" w:type="dxa"/>
          </w:tcPr>
          <w:p w:rsidR="00C06B21" w:rsidRDefault="00C06B21" w:rsidP="00C1162F">
            <w:pPr>
              <w:widowControl w:val="0"/>
              <w:autoSpaceDE w:val="0"/>
              <w:autoSpaceDN w:val="0"/>
              <w:adjustRightInd w:val="0"/>
              <w:ind w:right="759"/>
              <w:jc w:val="right"/>
            </w:pPr>
            <w:r>
              <w:t>20,000</w:t>
            </w:r>
          </w:p>
        </w:tc>
      </w:tr>
      <w:tr w:rsidR="00C06B21">
        <w:tblPrEx>
          <w:tblCellMar>
            <w:top w:w="0" w:type="dxa"/>
            <w:bottom w:w="0" w:type="dxa"/>
          </w:tblCellMar>
        </w:tblPrEx>
        <w:trPr>
          <w:trHeight w:val="342"/>
        </w:trPr>
        <w:tc>
          <w:tcPr>
            <w:tcW w:w="3705" w:type="dxa"/>
            <w:tcBorders>
              <w:bottom w:val="single" w:sz="4" w:space="0" w:color="auto"/>
            </w:tcBorders>
          </w:tcPr>
          <w:p w:rsidR="00C06B21" w:rsidRDefault="00C06B21" w:rsidP="00C1162F">
            <w:pPr>
              <w:widowControl w:val="0"/>
              <w:autoSpaceDE w:val="0"/>
              <w:autoSpaceDN w:val="0"/>
              <w:adjustRightInd w:val="0"/>
              <w:ind w:left="312"/>
            </w:pPr>
            <w:r>
              <w:t>Ra-226</w:t>
            </w:r>
          </w:p>
        </w:tc>
        <w:tc>
          <w:tcPr>
            <w:tcW w:w="2793" w:type="dxa"/>
            <w:tcBorders>
              <w:bottom w:val="single" w:sz="4" w:space="0" w:color="auto"/>
            </w:tcBorders>
          </w:tcPr>
          <w:p w:rsidR="00C06B21" w:rsidRDefault="00C06B21" w:rsidP="00C1162F">
            <w:pPr>
              <w:widowControl w:val="0"/>
              <w:autoSpaceDE w:val="0"/>
              <w:autoSpaceDN w:val="0"/>
              <w:adjustRightInd w:val="0"/>
              <w:ind w:right="759"/>
              <w:jc w:val="right"/>
            </w:pPr>
            <w:r>
              <w:t>100</w:t>
            </w:r>
          </w:p>
        </w:tc>
      </w:tr>
    </w:tbl>
    <w:p w:rsidR="00C06B21" w:rsidRDefault="00C06B21" w:rsidP="000B32B2">
      <w:pPr>
        <w:widowControl w:val="0"/>
        <w:autoSpaceDE w:val="0"/>
        <w:autoSpaceDN w:val="0"/>
        <w:adjustRightInd w:val="0"/>
        <w:ind w:left="2160" w:hanging="720"/>
      </w:pPr>
    </w:p>
    <w:p w:rsidR="000B32B2" w:rsidRDefault="000B32B2" w:rsidP="00C06B21">
      <w:pPr>
        <w:widowControl w:val="0"/>
        <w:autoSpaceDE w:val="0"/>
        <w:autoSpaceDN w:val="0"/>
        <w:adjustRightInd w:val="0"/>
        <w:ind w:left="1440"/>
      </w:pPr>
      <w:r>
        <w:t xml:space="preserve">AGENCY NOTE:  Units are nanocuries per gram. </w:t>
      </w:r>
    </w:p>
    <w:p w:rsidR="001F0DB4" w:rsidRDefault="001F0DB4" w:rsidP="000B32B2">
      <w:pPr>
        <w:widowControl w:val="0"/>
        <w:autoSpaceDE w:val="0"/>
        <w:autoSpaceDN w:val="0"/>
        <w:adjustRightInd w:val="0"/>
        <w:ind w:left="1440" w:hanging="720"/>
      </w:pPr>
    </w:p>
    <w:p w:rsidR="000B32B2" w:rsidRDefault="000B32B2" w:rsidP="000B32B2">
      <w:pPr>
        <w:widowControl w:val="0"/>
        <w:autoSpaceDE w:val="0"/>
        <w:autoSpaceDN w:val="0"/>
        <w:adjustRightInd w:val="0"/>
        <w:ind w:left="1440" w:hanging="720"/>
      </w:pPr>
      <w:r>
        <w:t>d)</w:t>
      </w:r>
      <w:r>
        <w:tab/>
        <w:t xml:space="preserve">Classification determined by short-lived radionuclides. </w:t>
      </w:r>
      <w:r w:rsidR="00DA0087">
        <w:t xml:space="preserve"> </w:t>
      </w:r>
      <w:r>
        <w:t xml:space="preserve">If the waste does not contain any of the radionuclides listed in Table 1, classification shall be determined based on the concentrations shown in Table 2 </w:t>
      </w:r>
      <w:r w:rsidR="00973A61">
        <w:t>of this Section</w:t>
      </w:r>
      <w:r>
        <w:t xml:space="preserve">.  However, as specified in subsection (f) </w:t>
      </w:r>
      <w:r w:rsidR="00973A61">
        <w:t>of this Section</w:t>
      </w:r>
      <w:r>
        <w:t xml:space="preserve">, if radioactive waste does not contain any nuclides listed in either Table 1 or Table 2, it is Class A. </w:t>
      </w:r>
    </w:p>
    <w:p w:rsidR="00E22826" w:rsidRDefault="00E22826" w:rsidP="000B32B2">
      <w:pPr>
        <w:widowControl w:val="0"/>
        <w:autoSpaceDE w:val="0"/>
        <w:autoSpaceDN w:val="0"/>
        <w:adjustRightInd w:val="0"/>
        <w:ind w:left="2160" w:hanging="720"/>
      </w:pPr>
    </w:p>
    <w:p w:rsidR="000B32B2" w:rsidRDefault="000B32B2" w:rsidP="000B32B2">
      <w:pPr>
        <w:widowControl w:val="0"/>
        <w:autoSpaceDE w:val="0"/>
        <w:autoSpaceDN w:val="0"/>
        <w:adjustRightInd w:val="0"/>
        <w:ind w:left="2160" w:hanging="720"/>
      </w:pPr>
      <w:r>
        <w:t>1)</w:t>
      </w:r>
      <w:r>
        <w:tab/>
        <w:t xml:space="preserve">If the concentration does not exceed the value in Column 1, the waste is Class A. </w:t>
      </w:r>
    </w:p>
    <w:p w:rsidR="00E22826" w:rsidRDefault="00E22826" w:rsidP="000B32B2">
      <w:pPr>
        <w:widowControl w:val="0"/>
        <w:autoSpaceDE w:val="0"/>
        <w:autoSpaceDN w:val="0"/>
        <w:adjustRightInd w:val="0"/>
        <w:ind w:left="2160" w:hanging="720"/>
      </w:pPr>
    </w:p>
    <w:p w:rsidR="000B32B2" w:rsidRDefault="000B32B2" w:rsidP="000B32B2">
      <w:pPr>
        <w:widowControl w:val="0"/>
        <w:autoSpaceDE w:val="0"/>
        <w:autoSpaceDN w:val="0"/>
        <w:adjustRightInd w:val="0"/>
        <w:ind w:left="2160" w:hanging="720"/>
      </w:pPr>
      <w:r>
        <w:t>2)</w:t>
      </w:r>
      <w:r>
        <w:tab/>
        <w:t xml:space="preserve">If the concentration exceeds the value in Column 1 but does not exceed the value in Column 2, the waste is Class B. </w:t>
      </w:r>
    </w:p>
    <w:p w:rsidR="00E22826" w:rsidRDefault="00E22826" w:rsidP="000B32B2">
      <w:pPr>
        <w:widowControl w:val="0"/>
        <w:autoSpaceDE w:val="0"/>
        <w:autoSpaceDN w:val="0"/>
        <w:adjustRightInd w:val="0"/>
        <w:ind w:left="2160" w:hanging="720"/>
      </w:pPr>
    </w:p>
    <w:p w:rsidR="000B32B2" w:rsidRDefault="000B32B2" w:rsidP="000B32B2">
      <w:pPr>
        <w:widowControl w:val="0"/>
        <w:autoSpaceDE w:val="0"/>
        <w:autoSpaceDN w:val="0"/>
        <w:adjustRightInd w:val="0"/>
        <w:ind w:left="2160" w:hanging="720"/>
      </w:pPr>
      <w:r>
        <w:t>3)</w:t>
      </w:r>
      <w:r>
        <w:tab/>
        <w:t xml:space="preserve">If the concentration exceeds the value in Column 2 but does not exceed the value in Column 3, the waste is Class C. </w:t>
      </w:r>
    </w:p>
    <w:p w:rsidR="00E22826" w:rsidRDefault="00E22826" w:rsidP="000B32B2">
      <w:pPr>
        <w:widowControl w:val="0"/>
        <w:autoSpaceDE w:val="0"/>
        <w:autoSpaceDN w:val="0"/>
        <w:adjustRightInd w:val="0"/>
        <w:ind w:left="2160" w:hanging="720"/>
      </w:pPr>
    </w:p>
    <w:p w:rsidR="000B32B2" w:rsidRDefault="000B32B2" w:rsidP="000B32B2">
      <w:pPr>
        <w:widowControl w:val="0"/>
        <w:autoSpaceDE w:val="0"/>
        <w:autoSpaceDN w:val="0"/>
        <w:adjustRightInd w:val="0"/>
        <w:ind w:left="2160" w:hanging="720"/>
      </w:pPr>
      <w:r>
        <w:t>4)</w:t>
      </w:r>
      <w:r>
        <w:tab/>
        <w:t xml:space="preserve">If the concentration exceeds the value in Column 3, the waste is not generally acceptable for near-surface disposal. </w:t>
      </w:r>
    </w:p>
    <w:p w:rsidR="00E22826" w:rsidRDefault="00E22826" w:rsidP="000B32B2">
      <w:pPr>
        <w:widowControl w:val="0"/>
        <w:autoSpaceDE w:val="0"/>
        <w:autoSpaceDN w:val="0"/>
        <w:adjustRightInd w:val="0"/>
        <w:ind w:left="2160" w:hanging="720"/>
      </w:pPr>
    </w:p>
    <w:p w:rsidR="000B32B2" w:rsidRDefault="000B32B2" w:rsidP="000B32B2">
      <w:pPr>
        <w:widowControl w:val="0"/>
        <w:autoSpaceDE w:val="0"/>
        <w:autoSpaceDN w:val="0"/>
        <w:adjustRightInd w:val="0"/>
        <w:ind w:left="2160" w:hanging="720"/>
      </w:pPr>
      <w:r>
        <w:t>5)</w:t>
      </w:r>
      <w:r>
        <w:tab/>
        <w:t xml:space="preserve">For wastes containing mixtures of the radionuclides listed in Table 2, the </w:t>
      </w:r>
      <w:r>
        <w:lastRenderedPageBreak/>
        <w:t xml:space="preserve">total concentration shall be determined by the sum of fractions rule described in subsection (g) </w:t>
      </w:r>
      <w:r w:rsidR="00973A61">
        <w:t>of this Section</w:t>
      </w:r>
      <w:r>
        <w:t xml:space="preserve">. </w:t>
      </w:r>
    </w:p>
    <w:p w:rsidR="000B32B2" w:rsidRDefault="000B32B2" w:rsidP="000B32B2">
      <w:pPr>
        <w:widowControl w:val="0"/>
        <w:autoSpaceDE w:val="0"/>
        <w:autoSpaceDN w:val="0"/>
        <w:adjustRightInd w:val="0"/>
        <w:ind w:left="2160" w:hanging="720"/>
      </w:pPr>
    </w:p>
    <w:tbl>
      <w:tblPr>
        <w:tblW w:w="7188" w:type="dxa"/>
        <w:tblInd w:w="2217" w:type="dxa"/>
        <w:tblLayout w:type="fixed"/>
        <w:tblLook w:val="0000" w:firstRow="0" w:lastRow="0" w:firstColumn="0" w:lastColumn="0" w:noHBand="0" w:noVBand="0"/>
      </w:tblPr>
      <w:tblGrid>
        <w:gridCol w:w="3444"/>
        <w:gridCol w:w="1248"/>
        <w:gridCol w:w="1248"/>
        <w:gridCol w:w="1248"/>
      </w:tblGrid>
      <w:tr w:rsidR="00C06B21">
        <w:tblPrEx>
          <w:tblCellMar>
            <w:top w:w="0" w:type="dxa"/>
            <w:bottom w:w="0" w:type="dxa"/>
          </w:tblCellMar>
        </w:tblPrEx>
        <w:trPr>
          <w:trHeight w:val="540"/>
        </w:trPr>
        <w:tc>
          <w:tcPr>
            <w:tcW w:w="7188" w:type="dxa"/>
            <w:gridSpan w:val="4"/>
            <w:tcBorders>
              <w:bottom w:val="single" w:sz="4" w:space="0" w:color="auto"/>
            </w:tcBorders>
          </w:tcPr>
          <w:p w:rsidR="00C06B21" w:rsidRDefault="00C06B21" w:rsidP="00C1162F">
            <w:pPr>
              <w:widowControl w:val="0"/>
              <w:autoSpaceDE w:val="0"/>
              <w:autoSpaceDN w:val="0"/>
              <w:adjustRightInd w:val="0"/>
              <w:jc w:val="center"/>
            </w:pPr>
            <w:r>
              <w:t>Table 2</w:t>
            </w:r>
          </w:p>
        </w:tc>
      </w:tr>
      <w:tr w:rsidR="00C77906">
        <w:tblPrEx>
          <w:tblCellMar>
            <w:top w:w="0" w:type="dxa"/>
            <w:bottom w:w="0" w:type="dxa"/>
          </w:tblCellMar>
        </w:tblPrEx>
        <w:trPr>
          <w:trHeight w:val="375"/>
        </w:trPr>
        <w:tc>
          <w:tcPr>
            <w:tcW w:w="3444" w:type="dxa"/>
            <w:vMerge w:val="restart"/>
            <w:tcBorders>
              <w:top w:val="single" w:sz="4" w:space="0" w:color="auto"/>
            </w:tcBorders>
            <w:vAlign w:val="bottom"/>
          </w:tcPr>
          <w:p w:rsidR="00C77906" w:rsidRDefault="00C77906" w:rsidP="00C1162F">
            <w:r>
              <w:t>Radionuclide</w:t>
            </w:r>
          </w:p>
        </w:tc>
        <w:tc>
          <w:tcPr>
            <w:tcW w:w="3744" w:type="dxa"/>
            <w:gridSpan w:val="3"/>
            <w:tcBorders>
              <w:top w:val="single" w:sz="4" w:space="0" w:color="auto"/>
            </w:tcBorders>
            <w:vAlign w:val="bottom"/>
          </w:tcPr>
          <w:p w:rsidR="00C77906" w:rsidRDefault="00C77906" w:rsidP="00C77906">
            <w:pPr>
              <w:tabs>
                <w:tab w:val="left" w:pos="1581"/>
                <w:tab w:val="left" w:pos="3120"/>
              </w:tabs>
              <w:jc w:val="center"/>
            </w:pPr>
            <w:r>
              <w:t>Concentration (curies/cubic meter)</w:t>
            </w:r>
          </w:p>
        </w:tc>
      </w:tr>
      <w:tr w:rsidR="00C77906">
        <w:tblPrEx>
          <w:tblCellMar>
            <w:top w:w="0" w:type="dxa"/>
            <w:bottom w:w="0" w:type="dxa"/>
          </w:tblCellMar>
        </w:tblPrEx>
        <w:trPr>
          <w:trHeight w:val="375"/>
        </w:trPr>
        <w:tc>
          <w:tcPr>
            <w:tcW w:w="3444" w:type="dxa"/>
            <w:vMerge/>
            <w:tcBorders>
              <w:bottom w:val="single" w:sz="4" w:space="0" w:color="auto"/>
            </w:tcBorders>
            <w:vAlign w:val="center"/>
          </w:tcPr>
          <w:p w:rsidR="00C77906" w:rsidRDefault="00C77906" w:rsidP="00C1162F"/>
        </w:tc>
        <w:tc>
          <w:tcPr>
            <w:tcW w:w="1248" w:type="dxa"/>
            <w:tcBorders>
              <w:bottom w:val="single" w:sz="4" w:space="0" w:color="auto"/>
            </w:tcBorders>
            <w:vAlign w:val="bottom"/>
          </w:tcPr>
          <w:p w:rsidR="00C77906" w:rsidRDefault="00C77906" w:rsidP="00C77906">
            <w:pPr>
              <w:jc w:val="center"/>
            </w:pPr>
            <w:r>
              <w:t>Column 1</w:t>
            </w:r>
          </w:p>
        </w:tc>
        <w:tc>
          <w:tcPr>
            <w:tcW w:w="1248" w:type="dxa"/>
            <w:tcBorders>
              <w:bottom w:val="single" w:sz="4" w:space="0" w:color="auto"/>
            </w:tcBorders>
            <w:vAlign w:val="bottom"/>
          </w:tcPr>
          <w:p w:rsidR="00C77906" w:rsidRDefault="00C77906" w:rsidP="00C77906">
            <w:pPr>
              <w:jc w:val="center"/>
            </w:pPr>
            <w:r>
              <w:t>Column 2</w:t>
            </w:r>
          </w:p>
        </w:tc>
        <w:tc>
          <w:tcPr>
            <w:tcW w:w="1248" w:type="dxa"/>
            <w:tcBorders>
              <w:bottom w:val="single" w:sz="4" w:space="0" w:color="auto"/>
            </w:tcBorders>
            <w:vAlign w:val="bottom"/>
          </w:tcPr>
          <w:p w:rsidR="00C77906" w:rsidRDefault="00C77906" w:rsidP="00C77906">
            <w:pPr>
              <w:jc w:val="center"/>
            </w:pPr>
            <w:r>
              <w:t>Column 3</w:t>
            </w:r>
          </w:p>
        </w:tc>
      </w:tr>
      <w:tr w:rsidR="00C06B21">
        <w:tblPrEx>
          <w:tblCellMar>
            <w:top w:w="0" w:type="dxa"/>
            <w:bottom w:w="0" w:type="dxa"/>
          </w:tblCellMar>
        </w:tblPrEx>
        <w:trPr>
          <w:trHeight w:val="620"/>
        </w:trPr>
        <w:tc>
          <w:tcPr>
            <w:tcW w:w="3444" w:type="dxa"/>
            <w:tcBorders>
              <w:top w:val="single" w:sz="4" w:space="0" w:color="auto"/>
            </w:tcBorders>
            <w:vAlign w:val="bottom"/>
          </w:tcPr>
          <w:p w:rsidR="00C06B21" w:rsidRDefault="00C77906" w:rsidP="00C77906">
            <w:pPr>
              <w:widowControl w:val="0"/>
              <w:autoSpaceDE w:val="0"/>
              <w:autoSpaceDN w:val="0"/>
              <w:adjustRightInd w:val="0"/>
              <w:ind w:left="228" w:right="297" w:hanging="228"/>
            </w:pPr>
            <w:r>
              <w:t>Total of all radio</w:t>
            </w:r>
            <w:r w:rsidR="00C06B21">
              <w:t>nuclides with less than 5-year half-life</w:t>
            </w:r>
          </w:p>
        </w:tc>
        <w:tc>
          <w:tcPr>
            <w:tcW w:w="1248" w:type="dxa"/>
            <w:tcBorders>
              <w:top w:val="single" w:sz="4" w:space="0" w:color="auto"/>
            </w:tcBorders>
            <w:vAlign w:val="bottom"/>
          </w:tcPr>
          <w:p w:rsidR="00C06B21" w:rsidRDefault="00C06B21" w:rsidP="00C1162F">
            <w:pPr>
              <w:widowControl w:val="0"/>
              <w:autoSpaceDE w:val="0"/>
              <w:autoSpaceDN w:val="0"/>
              <w:adjustRightInd w:val="0"/>
              <w:ind w:right="567"/>
              <w:jc w:val="right"/>
            </w:pPr>
            <w:r>
              <w:t>700</w:t>
            </w:r>
          </w:p>
        </w:tc>
        <w:tc>
          <w:tcPr>
            <w:tcW w:w="1248" w:type="dxa"/>
            <w:tcBorders>
              <w:top w:val="single" w:sz="4" w:space="0" w:color="auto"/>
            </w:tcBorders>
            <w:vAlign w:val="bottom"/>
          </w:tcPr>
          <w:p w:rsidR="00C06B21" w:rsidRDefault="00C06B21" w:rsidP="00C1162F">
            <w:pPr>
              <w:widowControl w:val="0"/>
              <w:autoSpaceDE w:val="0"/>
              <w:autoSpaceDN w:val="0"/>
              <w:adjustRightInd w:val="0"/>
              <w:ind w:right="519"/>
              <w:jc w:val="right"/>
            </w:pPr>
            <w:r>
              <w:t>–</w:t>
            </w:r>
          </w:p>
        </w:tc>
        <w:tc>
          <w:tcPr>
            <w:tcW w:w="1248" w:type="dxa"/>
            <w:tcBorders>
              <w:top w:val="single" w:sz="4" w:space="0" w:color="auto"/>
            </w:tcBorders>
            <w:vAlign w:val="bottom"/>
          </w:tcPr>
          <w:p w:rsidR="00C06B21" w:rsidRDefault="00C06B21" w:rsidP="00C1162F">
            <w:pPr>
              <w:widowControl w:val="0"/>
              <w:autoSpaceDE w:val="0"/>
              <w:autoSpaceDN w:val="0"/>
              <w:adjustRightInd w:val="0"/>
              <w:ind w:right="407"/>
              <w:jc w:val="right"/>
            </w:pPr>
            <w:r>
              <w:t xml:space="preserve">– </w:t>
            </w:r>
          </w:p>
        </w:tc>
      </w:tr>
      <w:tr w:rsidR="00C06B21">
        <w:tblPrEx>
          <w:tblCellMar>
            <w:top w:w="0" w:type="dxa"/>
            <w:bottom w:w="0" w:type="dxa"/>
          </w:tblCellMar>
        </w:tblPrEx>
        <w:tc>
          <w:tcPr>
            <w:tcW w:w="3444" w:type="dxa"/>
          </w:tcPr>
          <w:p w:rsidR="00C06B21" w:rsidRDefault="00C06B21" w:rsidP="00C77906">
            <w:pPr>
              <w:widowControl w:val="0"/>
              <w:autoSpaceDE w:val="0"/>
              <w:autoSpaceDN w:val="0"/>
              <w:adjustRightInd w:val="0"/>
              <w:ind w:right="297"/>
            </w:pPr>
            <w:r>
              <w:t>H-3</w:t>
            </w:r>
          </w:p>
        </w:tc>
        <w:tc>
          <w:tcPr>
            <w:tcW w:w="1248" w:type="dxa"/>
          </w:tcPr>
          <w:p w:rsidR="00C06B21" w:rsidRDefault="00C06B21" w:rsidP="00C1162F">
            <w:pPr>
              <w:widowControl w:val="0"/>
              <w:autoSpaceDE w:val="0"/>
              <w:autoSpaceDN w:val="0"/>
              <w:adjustRightInd w:val="0"/>
              <w:ind w:right="567"/>
              <w:jc w:val="right"/>
            </w:pPr>
            <w:r>
              <w:t>40</w:t>
            </w:r>
          </w:p>
        </w:tc>
        <w:tc>
          <w:tcPr>
            <w:tcW w:w="1248" w:type="dxa"/>
          </w:tcPr>
          <w:p w:rsidR="00C06B21" w:rsidRDefault="00C06B21" w:rsidP="00C1162F">
            <w:pPr>
              <w:widowControl w:val="0"/>
              <w:autoSpaceDE w:val="0"/>
              <w:autoSpaceDN w:val="0"/>
              <w:adjustRightInd w:val="0"/>
              <w:ind w:right="519"/>
              <w:jc w:val="right"/>
            </w:pPr>
            <w:r>
              <w:t xml:space="preserve">– </w:t>
            </w:r>
          </w:p>
        </w:tc>
        <w:tc>
          <w:tcPr>
            <w:tcW w:w="1248" w:type="dxa"/>
          </w:tcPr>
          <w:p w:rsidR="00C06B21" w:rsidRDefault="00C06B21" w:rsidP="00C1162F">
            <w:pPr>
              <w:widowControl w:val="0"/>
              <w:autoSpaceDE w:val="0"/>
              <w:autoSpaceDN w:val="0"/>
              <w:adjustRightInd w:val="0"/>
              <w:ind w:right="407"/>
              <w:jc w:val="right"/>
            </w:pPr>
            <w:r>
              <w:t xml:space="preserve">– </w:t>
            </w:r>
          </w:p>
        </w:tc>
      </w:tr>
      <w:tr w:rsidR="00C06B21">
        <w:tblPrEx>
          <w:tblCellMar>
            <w:top w:w="0" w:type="dxa"/>
            <w:bottom w:w="0" w:type="dxa"/>
          </w:tblCellMar>
        </w:tblPrEx>
        <w:tc>
          <w:tcPr>
            <w:tcW w:w="3444" w:type="dxa"/>
          </w:tcPr>
          <w:p w:rsidR="00C06B21" w:rsidRDefault="00C06B21" w:rsidP="00C77906">
            <w:pPr>
              <w:widowControl w:val="0"/>
              <w:autoSpaceDE w:val="0"/>
              <w:autoSpaceDN w:val="0"/>
              <w:adjustRightInd w:val="0"/>
              <w:ind w:right="297"/>
            </w:pPr>
            <w:r>
              <w:t>Co-60</w:t>
            </w:r>
          </w:p>
        </w:tc>
        <w:tc>
          <w:tcPr>
            <w:tcW w:w="1248" w:type="dxa"/>
          </w:tcPr>
          <w:p w:rsidR="00C06B21" w:rsidRDefault="00C06B21" w:rsidP="00C1162F">
            <w:pPr>
              <w:widowControl w:val="0"/>
              <w:autoSpaceDE w:val="0"/>
              <w:autoSpaceDN w:val="0"/>
              <w:adjustRightInd w:val="0"/>
              <w:ind w:right="567"/>
              <w:jc w:val="right"/>
            </w:pPr>
            <w:r>
              <w:t>700</w:t>
            </w:r>
          </w:p>
        </w:tc>
        <w:tc>
          <w:tcPr>
            <w:tcW w:w="1248" w:type="dxa"/>
          </w:tcPr>
          <w:p w:rsidR="00C06B21" w:rsidRDefault="00C06B21" w:rsidP="00C1162F">
            <w:pPr>
              <w:widowControl w:val="0"/>
              <w:autoSpaceDE w:val="0"/>
              <w:autoSpaceDN w:val="0"/>
              <w:adjustRightInd w:val="0"/>
              <w:ind w:right="519"/>
              <w:jc w:val="right"/>
            </w:pPr>
            <w:r>
              <w:t xml:space="preserve">– </w:t>
            </w:r>
          </w:p>
        </w:tc>
        <w:tc>
          <w:tcPr>
            <w:tcW w:w="1248" w:type="dxa"/>
          </w:tcPr>
          <w:p w:rsidR="00C06B21" w:rsidRDefault="00C06B21" w:rsidP="00C1162F">
            <w:pPr>
              <w:widowControl w:val="0"/>
              <w:autoSpaceDE w:val="0"/>
              <w:autoSpaceDN w:val="0"/>
              <w:adjustRightInd w:val="0"/>
              <w:ind w:right="407"/>
              <w:jc w:val="right"/>
            </w:pPr>
            <w:r>
              <w:t xml:space="preserve">– </w:t>
            </w:r>
          </w:p>
        </w:tc>
      </w:tr>
      <w:tr w:rsidR="00C06B21">
        <w:tblPrEx>
          <w:tblCellMar>
            <w:top w:w="0" w:type="dxa"/>
            <w:bottom w:w="0" w:type="dxa"/>
          </w:tblCellMar>
        </w:tblPrEx>
        <w:tc>
          <w:tcPr>
            <w:tcW w:w="3444" w:type="dxa"/>
          </w:tcPr>
          <w:p w:rsidR="00C06B21" w:rsidRDefault="00C06B21" w:rsidP="00C77906">
            <w:pPr>
              <w:widowControl w:val="0"/>
              <w:autoSpaceDE w:val="0"/>
              <w:autoSpaceDN w:val="0"/>
              <w:adjustRightInd w:val="0"/>
              <w:ind w:right="297"/>
            </w:pPr>
            <w:r>
              <w:t>Ni-63</w:t>
            </w:r>
          </w:p>
        </w:tc>
        <w:tc>
          <w:tcPr>
            <w:tcW w:w="1248" w:type="dxa"/>
          </w:tcPr>
          <w:p w:rsidR="00C06B21" w:rsidRDefault="00C06B21" w:rsidP="00C1162F">
            <w:pPr>
              <w:widowControl w:val="0"/>
              <w:autoSpaceDE w:val="0"/>
              <w:autoSpaceDN w:val="0"/>
              <w:adjustRightInd w:val="0"/>
              <w:ind w:right="567"/>
              <w:jc w:val="right"/>
            </w:pPr>
            <w:r>
              <w:t>3.5</w:t>
            </w:r>
          </w:p>
        </w:tc>
        <w:tc>
          <w:tcPr>
            <w:tcW w:w="1248" w:type="dxa"/>
          </w:tcPr>
          <w:p w:rsidR="00C06B21" w:rsidRDefault="00C06B21" w:rsidP="00C1162F">
            <w:pPr>
              <w:widowControl w:val="0"/>
              <w:autoSpaceDE w:val="0"/>
              <w:autoSpaceDN w:val="0"/>
              <w:adjustRightInd w:val="0"/>
              <w:ind w:right="519"/>
              <w:jc w:val="right"/>
            </w:pPr>
            <w:r>
              <w:t>70</w:t>
            </w:r>
          </w:p>
        </w:tc>
        <w:tc>
          <w:tcPr>
            <w:tcW w:w="1248" w:type="dxa"/>
          </w:tcPr>
          <w:p w:rsidR="00C06B21" w:rsidRDefault="00C06B21" w:rsidP="00C1162F">
            <w:pPr>
              <w:widowControl w:val="0"/>
              <w:autoSpaceDE w:val="0"/>
              <w:autoSpaceDN w:val="0"/>
              <w:adjustRightInd w:val="0"/>
              <w:ind w:right="407"/>
              <w:jc w:val="right"/>
            </w:pPr>
            <w:r>
              <w:t>700</w:t>
            </w:r>
          </w:p>
        </w:tc>
      </w:tr>
      <w:tr w:rsidR="00C06B21">
        <w:tblPrEx>
          <w:tblCellMar>
            <w:top w:w="0" w:type="dxa"/>
            <w:bottom w:w="0" w:type="dxa"/>
          </w:tblCellMar>
        </w:tblPrEx>
        <w:tc>
          <w:tcPr>
            <w:tcW w:w="3444" w:type="dxa"/>
          </w:tcPr>
          <w:p w:rsidR="00C06B21" w:rsidRDefault="00C06B21" w:rsidP="00C77906">
            <w:pPr>
              <w:widowControl w:val="0"/>
              <w:autoSpaceDE w:val="0"/>
              <w:autoSpaceDN w:val="0"/>
              <w:adjustRightInd w:val="0"/>
              <w:ind w:left="234" w:right="297" w:hanging="228"/>
            </w:pPr>
            <w:r>
              <w:t>Ni-63 in activated metal</w:t>
            </w:r>
          </w:p>
        </w:tc>
        <w:tc>
          <w:tcPr>
            <w:tcW w:w="1248" w:type="dxa"/>
          </w:tcPr>
          <w:p w:rsidR="00C06B21" w:rsidRDefault="00C06B21" w:rsidP="00C1162F">
            <w:pPr>
              <w:widowControl w:val="0"/>
              <w:autoSpaceDE w:val="0"/>
              <w:autoSpaceDN w:val="0"/>
              <w:adjustRightInd w:val="0"/>
              <w:ind w:right="567"/>
              <w:jc w:val="right"/>
            </w:pPr>
            <w:r>
              <w:t>35</w:t>
            </w:r>
          </w:p>
        </w:tc>
        <w:tc>
          <w:tcPr>
            <w:tcW w:w="1248" w:type="dxa"/>
          </w:tcPr>
          <w:p w:rsidR="00C06B21" w:rsidRDefault="00C06B21" w:rsidP="00C1162F">
            <w:pPr>
              <w:widowControl w:val="0"/>
              <w:autoSpaceDE w:val="0"/>
              <w:autoSpaceDN w:val="0"/>
              <w:adjustRightInd w:val="0"/>
              <w:ind w:right="519"/>
              <w:jc w:val="right"/>
            </w:pPr>
            <w:r>
              <w:t>700</w:t>
            </w:r>
          </w:p>
        </w:tc>
        <w:tc>
          <w:tcPr>
            <w:tcW w:w="1248" w:type="dxa"/>
          </w:tcPr>
          <w:p w:rsidR="00C06B21" w:rsidRDefault="00C06B21" w:rsidP="00C1162F">
            <w:pPr>
              <w:widowControl w:val="0"/>
              <w:autoSpaceDE w:val="0"/>
              <w:autoSpaceDN w:val="0"/>
              <w:adjustRightInd w:val="0"/>
              <w:ind w:right="407"/>
              <w:jc w:val="right"/>
            </w:pPr>
            <w:r>
              <w:t>7000</w:t>
            </w:r>
          </w:p>
        </w:tc>
      </w:tr>
      <w:tr w:rsidR="00C06B21">
        <w:tblPrEx>
          <w:tblCellMar>
            <w:top w:w="0" w:type="dxa"/>
            <w:bottom w:w="0" w:type="dxa"/>
          </w:tblCellMar>
        </w:tblPrEx>
        <w:tc>
          <w:tcPr>
            <w:tcW w:w="3444" w:type="dxa"/>
          </w:tcPr>
          <w:p w:rsidR="00C06B21" w:rsidRDefault="00C06B21" w:rsidP="00C77906">
            <w:pPr>
              <w:widowControl w:val="0"/>
              <w:autoSpaceDE w:val="0"/>
              <w:autoSpaceDN w:val="0"/>
              <w:adjustRightInd w:val="0"/>
              <w:ind w:right="297"/>
            </w:pPr>
            <w:r>
              <w:t>Sr-90</w:t>
            </w:r>
          </w:p>
        </w:tc>
        <w:tc>
          <w:tcPr>
            <w:tcW w:w="1248" w:type="dxa"/>
          </w:tcPr>
          <w:p w:rsidR="00C06B21" w:rsidRDefault="00C06B21" w:rsidP="00C1162F">
            <w:pPr>
              <w:widowControl w:val="0"/>
              <w:autoSpaceDE w:val="0"/>
              <w:autoSpaceDN w:val="0"/>
              <w:adjustRightInd w:val="0"/>
              <w:ind w:right="567"/>
              <w:jc w:val="right"/>
            </w:pPr>
            <w:r>
              <w:t>0.04</w:t>
            </w:r>
          </w:p>
        </w:tc>
        <w:tc>
          <w:tcPr>
            <w:tcW w:w="1248" w:type="dxa"/>
          </w:tcPr>
          <w:p w:rsidR="00C06B21" w:rsidRDefault="00C06B21" w:rsidP="00C1162F">
            <w:pPr>
              <w:widowControl w:val="0"/>
              <w:autoSpaceDE w:val="0"/>
              <w:autoSpaceDN w:val="0"/>
              <w:adjustRightInd w:val="0"/>
              <w:ind w:right="519"/>
              <w:jc w:val="right"/>
            </w:pPr>
            <w:r>
              <w:t>150</w:t>
            </w:r>
          </w:p>
        </w:tc>
        <w:tc>
          <w:tcPr>
            <w:tcW w:w="1248" w:type="dxa"/>
          </w:tcPr>
          <w:p w:rsidR="00C06B21" w:rsidRDefault="00C06B21" w:rsidP="00C1162F">
            <w:pPr>
              <w:widowControl w:val="0"/>
              <w:autoSpaceDE w:val="0"/>
              <w:autoSpaceDN w:val="0"/>
              <w:adjustRightInd w:val="0"/>
              <w:ind w:right="407"/>
              <w:jc w:val="right"/>
            </w:pPr>
            <w:r>
              <w:t>7000</w:t>
            </w:r>
          </w:p>
        </w:tc>
      </w:tr>
      <w:tr w:rsidR="00C06B21">
        <w:tblPrEx>
          <w:tblCellMar>
            <w:top w:w="0" w:type="dxa"/>
            <w:bottom w:w="0" w:type="dxa"/>
          </w:tblCellMar>
        </w:tblPrEx>
        <w:trPr>
          <w:trHeight w:val="423"/>
        </w:trPr>
        <w:tc>
          <w:tcPr>
            <w:tcW w:w="3444" w:type="dxa"/>
            <w:tcBorders>
              <w:bottom w:val="single" w:sz="4" w:space="0" w:color="auto"/>
            </w:tcBorders>
          </w:tcPr>
          <w:p w:rsidR="00C06B21" w:rsidRDefault="00C06B21" w:rsidP="00C77906">
            <w:pPr>
              <w:widowControl w:val="0"/>
              <w:autoSpaceDE w:val="0"/>
              <w:autoSpaceDN w:val="0"/>
              <w:adjustRightInd w:val="0"/>
              <w:ind w:right="297"/>
            </w:pPr>
            <w:r>
              <w:t>Cs-137</w:t>
            </w:r>
          </w:p>
        </w:tc>
        <w:tc>
          <w:tcPr>
            <w:tcW w:w="1248" w:type="dxa"/>
            <w:tcBorders>
              <w:bottom w:val="single" w:sz="4" w:space="0" w:color="auto"/>
            </w:tcBorders>
          </w:tcPr>
          <w:p w:rsidR="00C06B21" w:rsidRDefault="00C06B21" w:rsidP="00C1162F">
            <w:pPr>
              <w:widowControl w:val="0"/>
              <w:autoSpaceDE w:val="0"/>
              <w:autoSpaceDN w:val="0"/>
              <w:adjustRightInd w:val="0"/>
              <w:ind w:right="567"/>
              <w:jc w:val="right"/>
            </w:pPr>
            <w:r>
              <w:t>1</w:t>
            </w:r>
          </w:p>
        </w:tc>
        <w:tc>
          <w:tcPr>
            <w:tcW w:w="1248" w:type="dxa"/>
            <w:tcBorders>
              <w:bottom w:val="single" w:sz="4" w:space="0" w:color="auto"/>
            </w:tcBorders>
          </w:tcPr>
          <w:p w:rsidR="00C06B21" w:rsidRDefault="00C06B21" w:rsidP="00C1162F">
            <w:pPr>
              <w:widowControl w:val="0"/>
              <w:autoSpaceDE w:val="0"/>
              <w:autoSpaceDN w:val="0"/>
              <w:adjustRightInd w:val="0"/>
              <w:ind w:right="519"/>
              <w:jc w:val="right"/>
            </w:pPr>
            <w:r>
              <w:t>44</w:t>
            </w:r>
          </w:p>
        </w:tc>
        <w:tc>
          <w:tcPr>
            <w:tcW w:w="1248" w:type="dxa"/>
            <w:tcBorders>
              <w:bottom w:val="single" w:sz="4" w:space="0" w:color="auto"/>
            </w:tcBorders>
          </w:tcPr>
          <w:p w:rsidR="00C06B21" w:rsidRDefault="00C06B21" w:rsidP="00C1162F">
            <w:pPr>
              <w:widowControl w:val="0"/>
              <w:autoSpaceDE w:val="0"/>
              <w:autoSpaceDN w:val="0"/>
              <w:adjustRightInd w:val="0"/>
              <w:ind w:right="407"/>
              <w:jc w:val="right"/>
            </w:pPr>
            <w:r>
              <w:t>4600</w:t>
            </w:r>
          </w:p>
        </w:tc>
      </w:tr>
    </w:tbl>
    <w:p w:rsidR="00C06B21" w:rsidRDefault="00C06B21" w:rsidP="000B32B2">
      <w:pPr>
        <w:widowControl w:val="0"/>
        <w:autoSpaceDE w:val="0"/>
        <w:autoSpaceDN w:val="0"/>
        <w:adjustRightInd w:val="0"/>
        <w:ind w:left="2160" w:hanging="720"/>
      </w:pPr>
    </w:p>
    <w:p w:rsidR="000B32B2" w:rsidRDefault="000B32B2" w:rsidP="00C06B21">
      <w:pPr>
        <w:widowControl w:val="0"/>
        <w:autoSpaceDE w:val="0"/>
        <w:autoSpaceDN w:val="0"/>
        <w:adjustRightInd w:val="0"/>
        <w:ind w:left="1440"/>
      </w:pPr>
      <w:r>
        <w:t xml:space="preserve">AGENCY NOTE:  There are no limits established for these radionuclides in Class B or C wastes.  Practical considerations such as the effects of external radiation and internal heat generation on transportation, handling and disposal will limit the concentrations for these wastes.  These wastes shall be Class B unless the concentrations of other radionuclides in Table 2 determine the waste to be Class C independent of these radionuclides. </w:t>
      </w:r>
    </w:p>
    <w:p w:rsidR="001F0DB4" w:rsidRDefault="001F0DB4" w:rsidP="000B32B2">
      <w:pPr>
        <w:widowControl w:val="0"/>
        <w:autoSpaceDE w:val="0"/>
        <w:autoSpaceDN w:val="0"/>
        <w:adjustRightInd w:val="0"/>
        <w:ind w:left="1440" w:hanging="720"/>
      </w:pPr>
    </w:p>
    <w:p w:rsidR="000B32B2" w:rsidRDefault="000B32B2" w:rsidP="000B32B2">
      <w:pPr>
        <w:widowControl w:val="0"/>
        <w:autoSpaceDE w:val="0"/>
        <w:autoSpaceDN w:val="0"/>
        <w:adjustRightInd w:val="0"/>
        <w:ind w:left="1440" w:hanging="720"/>
      </w:pPr>
      <w:r>
        <w:t>e)</w:t>
      </w:r>
      <w:r>
        <w:tab/>
        <w:t xml:space="preserve">Classification determined by both long- and short-lived radionuclides.  If the radioactive waste contains a mixture of radionuclides, some of which are listed in Table 1 and some of which are listed in Table 2, classification shall be determined as follows: </w:t>
      </w:r>
    </w:p>
    <w:p w:rsidR="00E22826" w:rsidRDefault="00E22826" w:rsidP="000B32B2">
      <w:pPr>
        <w:widowControl w:val="0"/>
        <w:autoSpaceDE w:val="0"/>
        <w:autoSpaceDN w:val="0"/>
        <w:adjustRightInd w:val="0"/>
        <w:ind w:left="2160" w:hanging="720"/>
      </w:pPr>
    </w:p>
    <w:p w:rsidR="000B32B2" w:rsidRDefault="000B32B2" w:rsidP="000B32B2">
      <w:pPr>
        <w:widowControl w:val="0"/>
        <w:autoSpaceDE w:val="0"/>
        <w:autoSpaceDN w:val="0"/>
        <w:adjustRightInd w:val="0"/>
        <w:ind w:left="2160" w:hanging="720"/>
      </w:pPr>
      <w:r>
        <w:t>1)</w:t>
      </w:r>
      <w:r>
        <w:tab/>
        <w:t xml:space="preserve">If the concentration of a radionuclide listed in Table 1 is less than 0.1 times the value listed in Table 1, the class shall be that determined by the concentration of radionuclides listed in Table 2. </w:t>
      </w:r>
    </w:p>
    <w:p w:rsidR="00E22826" w:rsidRDefault="00E22826" w:rsidP="000B32B2">
      <w:pPr>
        <w:widowControl w:val="0"/>
        <w:autoSpaceDE w:val="0"/>
        <w:autoSpaceDN w:val="0"/>
        <w:adjustRightInd w:val="0"/>
        <w:ind w:left="2160" w:hanging="720"/>
      </w:pPr>
    </w:p>
    <w:p w:rsidR="000B32B2" w:rsidRDefault="000B32B2" w:rsidP="000B32B2">
      <w:pPr>
        <w:widowControl w:val="0"/>
        <w:autoSpaceDE w:val="0"/>
        <w:autoSpaceDN w:val="0"/>
        <w:adjustRightInd w:val="0"/>
        <w:ind w:left="2160" w:hanging="720"/>
      </w:pPr>
      <w:r>
        <w:t>2)</w:t>
      </w:r>
      <w:r>
        <w:tab/>
        <w:t xml:space="preserve">If the concentration of a radionuclide listed in Table 1 exceeds 0.1 times the value listed in Table 1, but does not exceed the value in Table 1, the waste shall be Class C, provided the concentration of radionuclides listed in Table 2 does not exceed the value shown in Column 3 of Table 2. </w:t>
      </w:r>
    </w:p>
    <w:p w:rsidR="00E22826" w:rsidRDefault="00E22826" w:rsidP="000B32B2">
      <w:pPr>
        <w:widowControl w:val="0"/>
        <w:autoSpaceDE w:val="0"/>
        <w:autoSpaceDN w:val="0"/>
        <w:adjustRightInd w:val="0"/>
        <w:ind w:left="1440" w:hanging="720"/>
      </w:pPr>
    </w:p>
    <w:p w:rsidR="000B32B2" w:rsidRDefault="000B32B2" w:rsidP="000B32B2">
      <w:pPr>
        <w:widowControl w:val="0"/>
        <w:autoSpaceDE w:val="0"/>
        <w:autoSpaceDN w:val="0"/>
        <w:adjustRightInd w:val="0"/>
        <w:ind w:left="1440" w:hanging="720"/>
      </w:pPr>
      <w:r>
        <w:t>f)</w:t>
      </w:r>
      <w:r>
        <w:tab/>
        <w:t xml:space="preserve">Classification of wastes with radionuclides other than those listed in Tables 1 and 2.  If the waste does not contain any radionuclides listed in either Tables 1 or 2, it is Class A. </w:t>
      </w:r>
    </w:p>
    <w:p w:rsidR="00E22826" w:rsidRDefault="00E22826" w:rsidP="000B32B2">
      <w:pPr>
        <w:widowControl w:val="0"/>
        <w:autoSpaceDE w:val="0"/>
        <w:autoSpaceDN w:val="0"/>
        <w:adjustRightInd w:val="0"/>
        <w:ind w:left="1440" w:hanging="720"/>
      </w:pPr>
    </w:p>
    <w:p w:rsidR="000B32B2" w:rsidRDefault="000B32B2" w:rsidP="000B32B2">
      <w:pPr>
        <w:widowControl w:val="0"/>
        <w:autoSpaceDE w:val="0"/>
        <w:autoSpaceDN w:val="0"/>
        <w:adjustRightInd w:val="0"/>
        <w:ind w:left="1440" w:hanging="720"/>
      </w:pPr>
      <w:r>
        <w:t>g)</w:t>
      </w:r>
      <w:r>
        <w:tab/>
        <w:t xml:space="preserve">The sum of the fractions rule for mixtures of radionuclides.  For determining classification for waste that contains a mixture of radionuclides, it is necessary to determine the sum of fractions by dividing each radionuclide's concentration by the appropriate limit and adding the resulting values.  The appropriate limits must all be taken from the same column of the same table.  The sum of the fractions for the column must be less than 1.0 if the waste class is to be determined by that column.  Example:  A waste contains Sr-90 in a concentration of 50 Ci/m3 and Cs-137 in a concentration of 22 Ci/m3. Since the concentrations both exceed the values in Column 1, Table 2, they must be compared to Column 2 values.  For Sr-90 fraction, 50/150 = 0.33, for Cs-137 fraction, 22/44 = 0.5; the sum of the fractions = 0.83.  Since the sum is less than 1.0, the waste is Class B. </w:t>
      </w:r>
    </w:p>
    <w:p w:rsidR="00E22826" w:rsidRDefault="00E22826" w:rsidP="000B32B2">
      <w:pPr>
        <w:widowControl w:val="0"/>
        <w:autoSpaceDE w:val="0"/>
        <w:autoSpaceDN w:val="0"/>
        <w:adjustRightInd w:val="0"/>
        <w:ind w:left="1440" w:hanging="720"/>
      </w:pPr>
    </w:p>
    <w:p w:rsidR="000B32B2" w:rsidRDefault="000B32B2" w:rsidP="000B32B2">
      <w:pPr>
        <w:widowControl w:val="0"/>
        <w:autoSpaceDE w:val="0"/>
        <w:autoSpaceDN w:val="0"/>
        <w:adjustRightInd w:val="0"/>
        <w:ind w:left="1440" w:hanging="720"/>
      </w:pPr>
      <w:r>
        <w:t>h)</w:t>
      </w:r>
      <w:r>
        <w:tab/>
        <w:t xml:space="preserve">Determination of concentrations in wastes.  The concentration of a radionuclide may be determined by indirect methods such as use of scaling factors which relate the inferred concentration of one radionuclide to another that is measured, or radionuclide material accountability, if there is reasonable assurance that the indirect methods can be correlated with actual measurements.  The concentration of a radionuclide may be averaged over the volume of the waste, or weight of the waste if the units are expressed as nano-curies per gram. </w:t>
      </w:r>
    </w:p>
    <w:p w:rsidR="00973A61" w:rsidRDefault="00973A61" w:rsidP="000B32B2">
      <w:pPr>
        <w:widowControl w:val="0"/>
        <w:autoSpaceDE w:val="0"/>
        <w:autoSpaceDN w:val="0"/>
        <w:adjustRightInd w:val="0"/>
        <w:ind w:left="1440" w:hanging="720"/>
      </w:pPr>
    </w:p>
    <w:p w:rsidR="00973A61" w:rsidRPr="00D55B37" w:rsidRDefault="00973A61">
      <w:pPr>
        <w:pStyle w:val="JCARSourceNote"/>
        <w:ind w:left="720"/>
      </w:pPr>
      <w:r w:rsidRPr="00D55B37">
        <w:t xml:space="preserve">(Source:  </w:t>
      </w:r>
      <w:r>
        <w:t>Amended</w:t>
      </w:r>
      <w:r w:rsidRPr="00D55B37">
        <w:t xml:space="preserve"> at 2</w:t>
      </w:r>
      <w:r>
        <w:t>9</w:t>
      </w:r>
      <w:r w:rsidRPr="00D55B37">
        <w:t xml:space="preserve"> Ill. Reg. </w:t>
      </w:r>
      <w:r w:rsidR="005B590C">
        <w:t>20841</w:t>
      </w:r>
      <w:r w:rsidRPr="00D55B37">
        <w:t xml:space="preserve">, effective </w:t>
      </w:r>
      <w:r w:rsidR="005B590C">
        <w:t xml:space="preserve">December </w:t>
      </w:r>
      <w:r w:rsidR="006F4168">
        <w:t>16</w:t>
      </w:r>
      <w:r w:rsidR="005B590C">
        <w:t>, 2005</w:t>
      </w:r>
      <w:r w:rsidRPr="00D55B37">
        <w:t>)</w:t>
      </w:r>
    </w:p>
    <w:sectPr w:rsidR="00973A61" w:rsidRPr="00D55B37" w:rsidSect="000B32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32B2"/>
    <w:rsid w:val="000B2EF3"/>
    <w:rsid w:val="000B32B2"/>
    <w:rsid w:val="001F0DB4"/>
    <w:rsid w:val="00336D47"/>
    <w:rsid w:val="003906B9"/>
    <w:rsid w:val="005B590C"/>
    <w:rsid w:val="005C3366"/>
    <w:rsid w:val="006F4168"/>
    <w:rsid w:val="00973A61"/>
    <w:rsid w:val="00C06B21"/>
    <w:rsid w:val="00C1162F"/>
    <w:rsid w:val="00C77906"/>
    <w:rsid w:val="00D65D00"/>
    <w:rsid w:val="00DA0087"/>
    <w:rsid w:val="00E13147"/>
    <w:rsid w:val="00E22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73A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73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2012-06-21T18:30:00Z</dcterms:created>
  <dcterms:modified xsi:type="dcterms:W3CDTF">2012-06-21T18:30:00Z</dcterms:modified>
</cp:coreProperties>
</file>