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35" w:rsidRDefault="00ED6335" w:rsidP="00ED6335">
      <w:pPr>
        <w:widowControl w:val="0"/>
        <w:autoSpaceDE w:val="0"/>
        <w:autoSpaceDN w:val="0"/>
        <w:adjustRightInd w:val="0"/>
      </w:pPr>
      <w:bookmarkStart w:id="0" w:name="_GoBack"/>
      <w:bookmarkEnd w:id="0"/>
    </w:p>
    <w:p w:rsidR="00ED6335" w:rsidRDefault="00ED6335" w:rsidP="00ED6335">
      <w:pPr>
        <w:widowControl w:val="0"/>
        <w:autoSpaceDE w:val="0"/>
        <w:autoSpaceDN w:val="0"/>
        <w:adjustRightInd w:val="0"/>
      </w:pPr>
      <w:r>
        <w:rPr>
          <w:b/>
          <w:bCs/>
        </w:rPr>
        <w:t>Section 406.250   Sample Collection, Handling and Preservation</w:t>
      </w:r>
      <w:r>
        <w:t xml:space="preserve"> </w:t>
      </w:r>
    </w:p>
    <w:p w:rsidR="00ED6335" w:rsidRDefault="00ED6335" w:rsidP="00ED6335">
      <w:pPr>
        <w:widowControl w:val="0"/>
        <w:autoSpaceDE w:val="0"/>
        <w:autoSpaceDN w:val="0"/>
        <w:adjustRightInd w:val="0"/>
      </w:pPr>
    </w:p>
    <w:p w:rsidR="00ED6335" w:rsidRDefault="00ED6335" w:rsidP="00ED6335">
      <w:pPr>
        <w:widowControl w:val="0"/>
        <w:autoSpaceDE w:val="0"/>
        <w:autoSpaceDN w:val="0"/>
        <w:adjustRightInd w:val="0"/>
      </w:pPr>
      <w:r>
        <w:t xml:space="preserve">The following requirements for container types and preservation shall be met for each individual parameter </w:t>
      </w:r>
      <w:r w:rsidRPr="00F85B91">
        <w:rPr>
          <w:vertAlign w:val="superscript"/>
        </w:rPr>
        <w:t>a</w:t>
      </w:r>
      <w:r>
        <w:t xml:space="preserve">: </w:t>
      </w:r>
    </w:p>
    <w:p w:rsidR="00ED6335" w:rsidRDefault="00ED6335" w:rsidP="00ED6335">
      <w:pPr>
        <w:widowControl w:val="0"/>
        <w:autoSpaceDE w:val="0"/>
        <w:autoSpaceDN w:val="0"/>
        <w:adjustRightInd w:val="0"/>
      </w:pPr>
    </w:p>
    <w:tbl>
      <w:tblPr>
        <w:tblW w:w="0" w:type="auto"/>
        <w:tblLook w:val="0000" w:firstRow="0" w:lastRow="0" w:firstColumn="0" w:lastColumn="0" w:noHBand="0" w:noVBand="0"/>
      </w:tblPr>
      <w:tblGrid>
        <w:gridCol w:w="2730"/>
        <w:gridCol w:w="4845"/>
        <w:gridCol w:w="2001"/>
      </w:tblGrid>
      <w:tr w:rsidR="00ED6335">
        <w:tblPrEx>
          <w:tblCellMar>
            <w:top w:w="0" w:type="dxa"/>
            <w:bottom w:w="0" w:type="dxa"/>
          </w:tblCellMar>
        </w:tblPrEx>
        <w:trPr>
          <w:trHeight w:val="570"/>
        </w:trPr>
        <w:tc>
          <w:tcPr>
            <w:tcW w:w="2730" w:type="dxa"/>
          </w:tcPr>
          <w:p w:rsidR="00ED6335" w:rsidRDefault="00ED6335" w:rsidP="00F31868">
            <w:pPr>
              <w:widowControl w:val="0"/>
              <w:autoSpaceDE w:val="0"/>
              <w:autoSpaceDN w:val="0"/>
              <w:adjustRightInd w:val="0"/>
            </w:pPr>
            <w:r>
              <w:t>Parameter</w:t>
            </w:r>
          </w:p>
        </w:tc>
        <w:tc>
          <w:tcPr>
            <w:tcW w:w="4845" w:type="dxa"/>
          </w:tcPr>
          <w:p w:rsidR="00ED6335" w:rsidRPr="004531F7" w:rsidRDefault="00ED6335" w:rsidP="00F31868">
            <w:pPr>
              <w:widowControl w:val="0"/>
              <w:autoSpaceDE w:val="0"/>
              <w:autoSpaceDN w:val="0"/>
              <w:adjustRightInd w:val="0"/>
              <w:rPr>
                <w:vertAlign w:val="subscript"/>
              </w:rPr>
            </w:pPr>
            <w:r>
              <w:t xml:space="preserve">Preservative </w:t>
            </w:r>
            <w:r w:rsidRPr="00ED6335">
              <w:rPr>
                <w:vertAlign w:val="superscript"/>
              </w:rPr>
              <w:t>b</w:t>
            </w:r>
          </w:p>
        </w:tc>
        <w:tc>
          <w:tcPr>
            <w:tcW w:w="2001" w:type="dxa"/>
          </w:tcPr>
          <w:p w:rsidR="00ED6335" w:rsidRPr="004531F7" w:rsidRDefault="00ED6335" w:rsidP="00F31868">
            <w:pPr>
              <w:widowControl w:val="0"/>
              <w:autoSpaceDE w:val="0"/>
              <w:autoSpaceDN w:val="0"/>
              <w:adjustRightInd w:val="0"/>
              <w:jc w:val="center"/>
              <w:rPr>
                <w:vertAlign w:val="subscript"/>
              </w:rPr>
            </w:pPr>
            <w:r>
              <w:t xml:space="preserve">Container </w:t>
            </w:r>
            <w:r w:rsidRPr="00ED6335">
              <w:rPr>
                <w:vertAlign w:val="superscript"/>
              </w:rPr>
              <w:t>c</w:t>
            </w:r>
          </w:p>
        </w:tc>
      </w:tr>
      <w:tr w:rsidR="00ED6335" w:rsidTr="00FD1181">
        <w:tblPrEx>
          <w:tblCellMar>
            <w:top w:w="0" w:type="dxa"/>
            <w:bottom w:w="0" w:type="dxa"/>
          </w:tblCellMar>
        </w:tblPrEx>
        <w:trPr>
          <w:trHeight w:val="317"/>
        </w:trPr>
        <w:tc>
          <w:tcPr>
            <w:tcW w:w="2730" w:type="dxa"/>
            <w:tcBorders>
              <w:top w:val="single" w:sz="4" w:space="0" w:color="auto"/>
            </w:tcBorders>
            <w:vAlign w:val="center"/>
          </w:tcPr>
          <w:p w:rsidR="00ED6335" w:rsidRDefault="00ED6335" w:rsidP="00F31868">
            <w:pPr>
              <w:widowControl w:val="0"/>
              <w:autoSpaceDE w:val="0"/>
              <w:autoSpaceDN w:val="0"/>
              <w:adjustRightInd w:val="0"/>
            </w:pPr>
            <w:r>
              <w:t>Gross alpha</w:t>
            </w:r>
          </w:p>
        </w:tc>
        <w:tc>
          <w:tcPr>
            <w:tcW w:w="4845" w:type="dxa"/>
            <w:tcBorders>
              <w:top w:val="single" w:sz="4" w:space="0" w:color="auto"/>
            </w:tcBorders>
            <w:vAlign w:val="center"/>
          </w:tcPr>
          <w:p w:rsidR="00ED6335" w:rsidRPr="004531F7" w:rsidRDefault="00ED6335" w:rsidP="00ED6335">
            <w:pPr>
              <w:widowControl w:val="0"/>
              <w:autoSpaceDE w:val="0"/>
              <w:autoSpaceDN w:val="0"/>
              <w:adjustRightInd w:val="0"/>
              <w:ind w:firstLine="6"/>
            </w:pPr>
            <w:proofErr w:type="spellStart"/>
            <w:r>
              <w:t>Conc</w:t>
            </w:r>
            <w:proofErr w:type="spellEnd"/>
            <w:r>
              <w:t xml:space="preserve"> HC1 or HNO </w:t>
            </w:r>
            <w:r w:rsidRPr="00F85B91">
              <w:rPr>
                <w:vertAlign w:val="superscript"/>
              </w:rPr>
              <w:t>3</w:t>
            </w:r>
            <w:r>
              <w:t xml:space="preserve"> to pH less than 2 </w:t>
            </w:r>
            <w:r w:rsidRPr="00F85B91">
              <w:rPr>
                <w:vertAlign w:val="superscript"/>
              </w:rPr>
              <w:t>d</w:t>
            </w:r>
          </w:p>
        </w:tc>
        <w:tc>
          <w:tcPr>
            <w:tcW w:w="2001" w:type="dxa"/>
            <w:tcBorders>
              <w:top w:val="single" w:sz="4" w:space="0" w:color="auto"/>
            </w:tcBorders>
            <w:vAlign w:val="center"/>
          </w:tcPr>
          <w:p w:rsidR="00ED6335" w:rsidRDefault="00ED6335" w:rsidP="00F31868">
            <w:pPr>
              <w:widowControl w:val="0"/>
              <w:autoSpaceDE w:val="0"/>
              <w:autoSpaceDN w:val="0"/>
              <w:adjustRightInd w:val="0"/>
              <w:jc w:val="center"/>
            </w:pPr>
            <w:r>
              <w:t>P or G</w:t>
            </w:r>
          </w:p>
        </w:tc>
      </w:tr>
      <w:tr w:rsidR="00ED6335" w:rsidTr="00FD1181">
        <w:tblPrEx>
          <w:tblCellMar>
            <w:top w:w="0" w:type="dxa"/>
            <w:bottom w:w="0" w:type="dxa"/>
          </w:tblCellMar>
        </w:tblPrEx>
        <w:trPr>
          <w:trHeight w:val="317"/>
        </w:trPr>
        <w:tc>
          <w:tcPr>
            <w:tcW w:w="2730" w:type="dxa"/>
            <w:vAlign w:val="center"/>
          </w:tcPr>
          <w:p w:rsidR="00ED6335" w:rsidRDefault="00ED6335" w:rsidP="00F31868">
            <w:pPr>
              <w:widowControl w:val="0"/>
              <w:autoSpaceDE w:val="0"/>
              <w:autoSpaceDN w:val="0"/>
              <w:adjustRightInd w:val="0"/>
            </w:pPr>
            <w:r>
              <w:t>Gross beta</w:t>
            </w:r>
          </w:p>
        </w:tc>
        <w:tc>
          <w:tcPr>
            <w:tcW w:w="4845" w:type="dxa"/>
            <w:vAlign w:val="center"/>
          </w:tcPr>
          <w:p w:rsidR="00ED6335" w:rsidRPr="004531F7" w:rsidRDefault="00ED6335" w:rsidP="00ED6335">
            <w:pPr>
              <w:widowControl w:val="0"/>
              <w:autoSpaceDE w:val="0"/>
              <w:autoSpaceDN w:val="0"/>
              <w:adjustRightInd w:val="0"/>
              <w:ind w:firstLine="6"/>
            </w:pPr>
            <w:proofErr w:type="spellStart"/>
            <w:r>
              <w:t>Conc</w:t>
            </w:r>
            <w:proofErr w:type="spellEnd"/>
            <w:r>
              <w:t xml:space="preserve"> HC1 or HNO </w:t>
            </w:r>
            <w:r w:rsidRPr="00F85B91">
              <w:rPr>
                <w:vertAlign w:val="superscript"/>
              </w:rPr>
              <w:t>3</w:t>
            </w:r>
            <w:r>
              <w:t xml:space="preserve"> to pH less than 2 </w:t>
            </w:r>
            <w:r w:rsidRPr="00F85B91">
              <w:rPr>
                <w:vertAlign w:val="superscript"/>
              </w:rPr>
              <w:t>d</w:t>
            </w:r>
          </w:p>
        </w:tc>
        <w:tc>
          <w:tcPr>
            <w:tcW w:w="2001" w:type="dxa"/>
            <w:vAlign w:val="center"/>
          </w:tcPr>
          <w:p w:rsidR="00ED6335" w:rsidRDefault="00ED6335" w:rsidP="00F31868">
            <w:pPr>
              <w:widowControl w:val="0"/>
              <w:autoSpaceDE w:val="0"/>
              <w:autoSpaceDN w:val="0"/>
              <w:adjustRightInd w:val="0"/>
              <w:jc w:val="center"/>
            </w:pPr>
            <w:r>
              <w:t>P or G</w:t>
            </w:r>
          </w:p>
        </w:tc>
      </w:tr>
      <w:tr w:rsidR="00ED6335" w:rsidTr="00FD1181">
        <w:tblPrEx>
          <w:tblCellMar>
            <w:top w:w="0" w:type="dxa"/>
            <w:bottom w:w="0" w:type="dxa"/>
          </w:tblCellMar>
        </w:tblPrEx>
        <w:trPr>
          <w:trHeight w:val="317"/>
        </w:trPr>
        <w:tc>
          <w:tcPr>
            <w:tcW w:w="2730" w:type="dxa"/>
            <w:vAlign w:val="center"/>
          </w:tcPr>
          <w:p w:rsidR="00ED6335" w:rsidRDefault="00ED6335" w:rsidP="00F31868">
            <w:pPr>
              <w:widowControl w:val="0"/>
              <w:autoSpaceDE w:val="0"/>
              <w:autoSpaceDN w:val="0"/>
              <w:adjustRightInd w:val="0"/>
            </w:pPr>
            <w:r>
              <w:t>Strontium-89</w:t>
            </w:r>
          </w:p>
        </w:tc>
        <w:tc>
          <w:tcPr>
            <w:tcW w:w="4845" w:type="dxa"/>
            <w:vAlign w:val="center"/>
          </w:tcPr>
          <w:p w:rsidR="00ED6335" w:rsidRPr="004531F7" w:rsidRDefault="00ED6335" w:rsidP="00ED6335">
            <w:pPr>
              <w:widowControl w:val="0"/>
              <w:autoSpaceDE w:val="0"/>
              <w:autoSpaceDN w:val="0"/>
              <w:adjustRightInd w:val="0"/>
              <w:ind w:firstLine="6"/>
            </w:pPr>
            <w:proofErr w:type="spellStart"/>
            <w:r>
              <w:t>Conc</w:t>
            </w:r>
            <w:proofErr w:type="spellEnd"/>
            <w:r>
              <w:t xml:space="preserve"> HC1 or HNO</w:t>
            </w:r>
            <w:r w:rsidRPr="00F85B91">
              <w:rPr>
                <w:vertAlign w:val="superscript"/>
              </w:rPr>
              <w:t>3</w:t>
            </w:r>
            <w:r>
              <w:t xml:space="preserve"> to pH less than 2</w:t>
            </w:r>
          </w:p>
        </w:tc>
        <w:tc>
          <w:tcPr>
            <w:tcW w:w="2001" w:type="dxa"/>
            <w:vAlign w:val="center"/>
          </w:tcPr>
          <w:p w:rsidR="00ED6335" w:rsidRDefault="00ED6335" w:rsidP="00F31868">
            <w:pPr>
              <w:widowControl w:val="0"/>
              <w:autoSpaceDE w:val="0"/>
              <w:autoSpaceDN w:val="0"/>
              <w:adjustRightInd w:val="0"/>
              <w:jc w:val="center"/>
            </w:pPr>
            <w:r>
              <w:t>P or G</w:t>
            </w:r>
          </w:p>
        </w:tc>
      </w:tr>
      <w:tr w:rsidR="00ED6335" w:rsidTr="00FD1181">
        <w:tblPrEx>
          <w:tblCellMar>
            <w:top w:w="0" w:type="dxa"/>
            <w:bottom w:w="0" w:type="dxa"/>
          </w:tblCellMar>
        </w:tblPrEx>
        <w:trPr>
          <w:trHeight w:val="317"/>
        </w:trPr>
        <w:tc>
          <w:tcPr>
            <w:tcW w:w="2730" w:type="dxa"/>
            <w:vAlign w:val="center"/>
          </w:tcPr>
          <w:p w:rsidR="00ED6335" w:rsidRDefault="00ED6335" w:rsidP="00F31868">
            <w:pPr>
              <w:widowControl w:val="0"/>
              <w:autoSpaceDE w:val="0"/>
              <w:autoSpaceDN w:val="0"/>
              <w:adjustRightInd w:val="0"/>
            </w:pPr>
            <w:r>
              <w:t>Strontium-90</w:t>
            </w:r>
          </w:p>
        </w:tc>
        <w:tc>
          <w:tcPr>
            <w:tcW w:w="4845" w:type="dxa"/>
            <w:vAlign w:val="center"/>
          </w:tcPr>
          <w:p w:rsidR="00ED6335" w:rsidRPr="00C366F8" w:rsidRDefault="00ED6335" w:rsidP="00ED6335">
            <w:pPr>
              <w:widowControl w:val="0"/>
              <w:autoSpaceDE w:val="0"/>
              <w:autoSpaceDN w:val="0"/>
              <w:adjustRightInd w:val="0"/>
              <w:ind w:firstLine="6"/>
            </w:pPr>
            <w:proofErr w:type="spellStart"/>
            <w:r>
              <w:t>Conc</w:t>
            </w:r>
            <w:proofErr w:type="spellEnd"/>
            <w:r>
              <w:t xml:space="preserve"> HC1 or HNO</w:t>
            </w:r>
            <w:r>
              <w:rPr>
                <w:vertAlign w:val="subscript"/>
              </w:rPr>
              <w:t xml:space="preserve"> </w:t>
            </w:r>
            <w:r w:rsidRPr="00F85B91">
              <w:rPr>
                <w:vertAlign w:val="superscript"/>
              </w:rPr>
              <w:t>3</w:t>
            </w:r>
            <w:r>
              <w:t xml:space="preserve"> to pH less than 2</w:t>
            </w:r>
          </w:p>
        </w:tc>
        <w:tc>
          <w:tcPr>
            <w:tcW w:w="2001" w:type="dxa"/>
            <w:vAlign w:val="center"/>
          </w:tcPr>
          <w:p w:rsidR="00ED6335" w:rsidRDefault="00ED6335" w:rsidP="00F31868">
            <w:pPr>
              <w:widowControl w:val="0"/>
              <w:autoSpaceDE w:val="0"/>
              <w:autoSpaceDN w:val="0"/>
              <w:adjustRightInd w:val="0"/>
              <w:jc w:val="center"/>
            </w:pPr>
            <w:r>
              <w:t>P or G</w:t>
            </w:r>
          </w:p>
        </w:tc>
      </w:tr>
      <w:tr w:rsidR="00ED6335" w:rsidTr="00FD1181">
        <w:tblPrEx>
          <w:tblCellMar>
            <w:top w:w="0" w:type="dxa"/>
            <w:bottom w:w="0" w:type="dxa"/>
          </w:tblCellMar>
        </w:tblPrEx>
        <w:trPr>
          <w:trHeight w:val="317"/>
        </w:trPr>
        <w:tc>
          <w:tcPr>
            <w:tcW w:w="2730" w:type="dxa"/>
            <w:vAlign w:val="center"/>
          </w:tcPr>
          <w:p w:rsidR="00ED6335" w:rsidRDefault="00ED6335" w:rsidP="00F31868">
            <w:pPr>
              <w:widowControl w:val="0"/>
              <w:autoSpaceDE w:val="0"/>
              <w:autoSpaceDN w:val="0"/>
              <w:adjustRightInd w:val="0"/>
            </w:pPr>
            <w:r>
              <w:t>Radium-226</w:t>
            </w:r>
          </w:p>
        </w:tc>
        <w:tc>
          <w:tcPr>
            <w:tcW w:w="4845" w:type="dxa"/>
            <w:vAlign w:val="center"/>
          </w:tcPr>
          <w:p w:rsidR="00ED6335" w:rsidRPr="00C366F8" w:rsidRDefault="00ED6335" w:rsidP="00ED6335">
            <w:pPr>
              <w:widowControl w:val="0"/>
              <w:autoSpaceDE w:val="0"/>
              <w:autoSpaceDN w:val="0"/>
              <w:adjustRightInd w:val="0"/>
              <w:ind w:firstLine="6"/>
            </w:pPr>
            <w:proofErr w:type="spellStart"/>
            <w:r>
              <w:t>Conc</w:t>
            </w:r>
            <w:proofErr w:type="spellEnd"/>
            <w:r>
              <w:t xml:space="preserve"> HC1 or HNO </w:t>
            </w:r>
            <w:r w:rsidRPr="00F85B91">
              <w:rPr>
                <w:vertAlign w:val="superscript"/>
              </w:rPr>
              <w:t>3</w:t>
            </w:r>
            <w:r>
              <w:t xml:space="preserve"> to pH less than 2</w:t>
            </w:r>
          </w:p>
        </w:tc>
        <w:tc>
          <w:tcPr>
            <w:tcW w:w="2001" w:type="dxa"/>
            <w:vAlign w:val="center"/>
          </w:tcPr>
          <w:p w:rsidR="00ED6335" w:rsidRDefault="00ED6335" w:rsidP="00F31868">
            <w:pPr>
              <w:widowControl w:val="0"/>
              <w:autoSpaceDE w:val="0"/>
              <w:autoSpaceDN w:val="0"/>
              <w:adjustRightInd w:val="0"/>
              <w:jc w:val="center"/>
            </w:pPr>
            <w:r>
              <w:t>P or G</w:t>
            </w:r>
          </w:p>
        </w:tc>
      </w:tr>
      <w:tr w:rsidR="00ED6335" w:rsidTr="00FD1181">
        <w:tblPrEx>
          <w:tblCellMar>
            <w:top w:w="0" w:type="dxa"/>
            <w:bottom w:w="0" w:type="dxa"/>
          </w:tblCellMar>
        </w:tblPrEx>
        <w:trPr>
          <w:trHeight w:val="317"/>
        </w:trPr>
        <w:tc>
          <w:tcPr>
            <w:tcW w:w="2730" w:type="dxa"/>
            <w:vAlign w:val="center"/>
          </w:tcPr>
          <w:p w:rsidR="00ED6335" w:rsidRDefault="00ED6335" w:rsidP="00F31868">
            <w:pPr>
              <w:widowControl w:val="0"/>
              <w:autoSpaceDE w:val="0"/>
              <w:autoSpaceDN w:val="0"/>
              <w:adjustRightInd w:val="0"/>
            </w:pPr>
            <w:r>
              <w:t>Radium-228</w:t>
            </w:r>
          </w:p>
        </w:tc>
        <w:tc>
          <w:tcPr>
            <w:tcW w:w="4845" w:type="dxa"/>
            <w:vAlign w:val="center"/>
          </w:tcPr>
          <w:p w:rsidR="00ED6335" w:rsidRPr="00C366F8" w:rsidRDefault="00ED6335" w:rsidP="00ED6335">
            <w:pPr>
              <w:widowControl w:val="0"/>
              <w:autoSpaceDE w:val="0"/>
              <w:autoSpaceDN w:val="0"/>
              <w:adjustRightInd w:val="0"/>
              <w:ind w:firstLine="6"/>
            </w:pPr>
            <w:proofErr w:type="spellStart"/>
            <w:r>
              <w:t>Conc</w:t>
            </w:r>
            <w:proofErr w:type="spellEnd"/>
            <w:r>
              <w:t xml:space="preserve"> HC1 or HNO </w:t>
            </w:r>
            <w:r w:rsidRPr="00F85B91">
              <w:rPr>
                <w:vertAlign w:val="superscript"/>
              </w:rPr>
              <w:t>3</w:t>
            </w:r>
            <w:r>
              <w:t xml:space="preserve"> to pH less than 2</w:t>
            </w:r>
          </w:p>
        </w:tc>
        <w:tc>
          <w:tcPr>
            <w:tcW w:w="2001" w:type="dxa"/>
            <w:vAlign w:val="center"/>
          </w:tcPr>
          <w:p w:rsidR="00ED6335" w:rsidRDefault="00ED6335" w:rsidP="00F31868">
            <w:pPr>
              <w:widowControl w:val="0"/>
              <w:autoSpaceDE w:val="0"/>
              <w:autoSpaceDN w:val="0"/>
              <w:adjustRightInd w:val="0"/>
              <w:jc w:val="center"/>
            </w:pPr>
            <w:r>
              <w:t>P or G</w:t>
            </w:r>
          </w:p>
        </w:tc>
      </w:tr>
      <w:tr w:rsidR="00ED6335" w:rsidTr="00FD1181">
        <w:tblPrEx>
          <w:tblCellMar>
            <w:top w:w="0" w:type="dxa"/>
            <w:bottom w:w="0" w:type="dxa"/>
          </w:tblCellMar>
        </w:tblPrEx>
        <w:trPr>
          <w:trHeight w:val="317"/>
        </w:trPr>
        <w:tc>
          <w:tcPr>
            <w:tcW w:w="2730" w:type="dxa"/>
            <w:vAlign w:val="center"/>
          </w:tcPr>
          <w:p w:rsidR="00ED6335" w:rsidRDefault="00ED6335" w:rsidP="00F31868">
            <w:pPr>
              <w:widowControl w:val="0"/>
              <w:autoSpaceDE w:val="0"/>
              <w:autoSpaceDN w:val="0"/>
              <w:adjustRightInd w:val="0"/>
            </w:pPr>
            <w:r>
              <w:t>Cesium-134</w:t>
            </w:r>
          </w:p>
        </w:tc>
        <w:tc>
          <w:tcPr>
            <w:tcW w:w="4845" w:type="dxa"/>
            <w:vAlign w:val="center"/>
          </w:tcPr>
          <w:p w:rsidR="00ED6335" w:rsidRDefault="00ED6335" w:rsidP="00ED6335">
            <w:pPr>
              <w:widowControl w:val="0"/>
              <w:autoSpaceDE w:val="0"/>
              <w:autoSpaceDN w:val="0"/>
              <w:adjustRightInd w:val="0"/>
              <w:ind w:firstLine="6"/>
            </w:pPr>
            <w:proofErr w:type="spellStart"/>
            <w:r>
              <w:t>Conc</w:t>
            </w:r>
            <w:proofErr w:type="spellEnd"/>
            <w:r>
              <w:t xml:space="preserve"> HC1 to pH less than 2</w:t>
            </w:r>
          </w:p>
        </w:tc>
        <w:tc>
          <w:tcPr>
            <w:tcW w:w="2001" w:type="dxa"/>
            <w:vAlign w:val="center"/>
          </w:tcPr>
          <w:p w:rsidR="00ED6335" w:rsidRDefault="00ED6335" w:rsidP="00F31868">
            <w:pPr>
              <w:widowControl w:val="0"/>
              <w:autoSpaceDE w:val="0"/>
              <w:autoSpaceDN w:val="0"/>
              <w:adjustRightInd w:val="0"/>
              <w:jc w:val="center"/>
            </w:pPr>
            <w:r>
              <w:t>P or G</w:t>
            </w:r>
          </w:p>
        </w:tc>
      </w:tr>
      <w:tr w:rsidR="00ED6335" w:rsidTr="00FD1181">
        <w:tblPrEx>
          <w:tblCellMar>
            <w:top w:w="0" w:type="dxa"/>
            <w:bottom w:w="0" w:type="dxa"/>
          </w:tblCellMar>
        </w:tblPrEx>
        <w:trPr>
          <w:trHeight w:val="317"/>
        </w:trPr>
        <w:tc>
          <w:tcPr>
            <w:tcW w:w="2730" w:type="dxa"/>
            <w:vAlign w:val="center"/>
          </w:tcPr>
          <w:p w:rsidR="00ED6335" w:rsidRDefault="00ED6335" w:rsidP="00F31868">
            <w:pPr>
              <w:widowControl w:val="0"/>
              <w:autoSpaceDE w:val="0"/>
              <w:autoSpaceDN w:val="0"/>
              <w:adjustRightInd w:val="0"/>
            </w:pPr>
            <w:r>
              <w:t>Iodine-131</w:t>
            </w:r>
          </w:p>
        </w:tc>
        <w:tc>
          <w:tcPr>
            <w:tcW w:w="4845" w:type="dxa"/>
            <w:vAlign w:val="center"/>
          </w:tcPr>
          <w:p w:rsidR="00ED6335" w:rsidRDefault="00ED6335" w:rsidP="00ED6335">
            <w:pPr>
              <w:widowControl w:val="0"/>
              <w:autoSpaceDE w:val="0"/>
              <w:autoSpaceDN w:val="0"/>
              <w:adjustRightInd w:val="0"/>
              <w:ind w:firstLine="6"/>
            </w:pPr>
            <w:r>
              <w:t>None</w:t>
            </w:r>
          </w:p>
        </w:tc>
        <w:tc>
          <w:tcPr>
            <w:tcW w:w="2001" w:type="dxa"/>
            <w:vAlign w:val="center"/>
          </w:tcPr>
          <w:p w:rsidR="00ED6335" w:rsidRDefault="00ED6335" w:rsidP="00F31868">
            <w:pPr>
              <w:widowControl w:val="0"/>
              <w:autoSpaceDE w:val="0"/>
              <w:autoSpaceDN w:val="0"/>
              <w:adjustRightInd w:val="0"/>
              <w:jc w:val="center"/>
            </w:pPr>
            <w:r>
              <w:t>P or G</w:t>
            </w:r>
          </w:p>
        </w:tc>
      </w:tr>
      <w:tr w:rsidR="00ED6335" w:rsidTr="00FD1181">
        <w:tblPrEx>
          <w:tblCellMar>
            <w:top w:w="0" w:type="dxa"/>
            <w:bottom w:w="0" w:type="dxa"/>
          </w:tblCellMar>
        </w:tblPrEx>
        <w:trPr>
          <w:trHeight w:val="317"/>
        </w:trPr>
        <w:tc>
          <w:tcPr>
            <w:tcW w:w="2730" w:type="dxa"/>
            <w:vAlign w:val="center"/>
          </w:tcPr>
          <w:p w:rsidR="00ED6335" w:rsidRDefault="00ED6335" w:rsidP="00F31868">
            <w:pPr>
              <w:widowControl w:val="0"/>
              <w:autoSpaceDE w:val="0"/>
              <w:autoSpaceDN w:val="0"/>
              <w:adjustRightInd w:val="0"/>
            </w:pPr>
            <w:r>
              <w:t>Tritium</w:t>
            </w:r>
          </w:p>
        </w:tc>
        <w:tc>
          <w:tcPr>
            <w:tcW w:w="4845" w:type="dxa"/>
            <w:vAlign w:val="center"/>
          </w:tcPr>
          <w:p w:rsidR="00ED6335" w:rsidRDefault="00ED6335" w:rsidP="00ED6335">
            <w:pPr>
              <w:widowControl w:val="0"/>
              <w:autoSpaceDE w:val="0"/>
              <w:autoSpaceDN w:val="0"/>
              <w:adjustRightInd w:val="0"/>
              <w:ind w:firstLine="6"/>
            </w:pPr>
            <w:r>
              <w:t>None</w:t>
            </w:r>
          </w:p>
        </w:tc>
        <w:tc>
          <w:tcPr>
            <w:tcW w:w="2001" w:type="dxa"/>
            <w:vAlign w:val="center"/>
          </w:tcPr>
          <w:p w:rsidR="00ED6335" w:rsidRDefault="00ED6335" w:rsidP="00F31868">
            <w:pPr>
              <w:widowControl w:val="0"/>
              <w:autoSpaceDE w:val="0"/>
              <w:autoSpaceDN w:val="0"/>
              <w:adjustRightInd w:val="0"/>
              <w:jc w:val="center"/>
            </w:pPr>
            <w:r>
              <w:t>P or G</w:t>
            </w:r>
          </w:p>
        </w:tc>
      </w:tr>
      <w:tr w:rsidR="00ED6335" w:rsidTr="00FD1181">
        <w:tblPrEx>
          <w:tblCellMar>
            <w:top w:w="0" w:type="dxa"/>
            <w:bottom w:w="0" w:type="dxa"/>
          </w:tblCellMar>
        </w:tblPrEx>
        <w:trPr>
          <w:trHeight w:val="317"/>
        </w:trPr>
        <w:tc>
          <w:tcPr>
            <w:tcW w:w="2730" w:type="dxa"/>
            <w:vAlign w:val="center"/>
          </w:tcPr>
          <w:p w:rsidR="00ED6335" w:rsidRDefault="00ED6335" w:rsidP="00F31868">
            <w:pPr>
              <w:widowControl w:val="0"/>
              <w:autoSpaceDE w:val="0"/>
              <w:autoSpaceDN w:val="0"/>
              <w:adjustRightInd w:val="0"/>
            </w:pPr>
            <w:r>
              <w:t>Uranium</w:t>
            </w:r>
          </w:p>
        </w:tc>
        <w:tc>
          <w:tcPr>
            <w:tcW w:w="4845" w:type="dxa"/>
            <w:vAlign w:val="center"/>
          </w:tcPr>
          <w:p w:rsidR="00ED6335" w:rsidRPr="00C366F8" w:rsidRDefault="00ED6335" w:rsidP="00ED6335">
            <w:pPr>
              <w:widowControl w:val="0"/>
              <w:autoSpaceDE w:val="0"/>
              <w:autoSpaceDN w:val="0"/>
              <w:adjustRightInd w:val="0"/>
              <w:ind w:firstLine="6"/>
            </w:pPr>
            <w:proofErr w:type="spellStart"/>
            <w:r>
              <w:t>ConC</w:t>
            </w:r>
            <w:proofErr w:type="spellEnd"/>
            <w:r>
              <w:t xml:space="preserve"> HC1 or HNO </w:t>
            </w:r>
            <w:r w:rsidRPr="00F85B91">
              <w:rPr>
                <w:vertAlign w:val="superscript"/>
              </w:rPr>
              <w:t>3</w:t>
            </w:r>
            <w:r>
              <w:t xml:space="preserve"> to pH less than 2</w:t>
            </w:r>
          </w:p>
        </w:tc>
        <w:tc>
          <w:tcPr>
            <w:tcW w:w="2001" w:type="dxa"/>
            <w:vAlign w:val="center"/>
          </w:tcPr>
          <w:p w:rsidR="00ED6335" w:rsidRDefault="00ED6335" w:rsidP="00F31868">
            <w:pPr>
              <w:widowControl w:val="0"/>
              <w:autoSpaceDE w:val="0"/>
              <w:autoSpaceDN w:val="0"/>
              <w:adjustRightInd w:val="0"/>
              <w:jc w:val="center"/>
            </w:pPr>
            <w:r>
              <w:t>P or G</w:t>
            </w:r>
          </w:p>
        </w:tc>
      </w:tr>
      <w:tr w:rsidR="00ED6335" w:rsidTr="00FD1181">
        <w:tblPrEx>
          <w:tblCellMar>
            <w:top w:w="0" w:type="dxa"/>
            <w:bottom w:w="0" w:type="dxa"/>
          </w:tblCellMar>
        </w:tblPrEx>
        <w:trPr>
          <w:trHeight w:val="317"/>
        </w:trPr>
        <w:tc>
          <w:tcPr>
            <w:tcW w:w="2730" w:type="dxa"/>
            <w:tcBorders>
              <w:bottom w:val="single" w:sz="4" w:space="0" w:color="auto"/>
            </w:tcBorders>
            <w:vAlign w:val="center"/>
          </w:tcPr>
          <w:p w:rsidR="00ED6335" w:rsidRDefault="00ED6335" w:rsidP="00F31868">
            <w:pPr>
              <w:widowControl w:val="0"/>
              <w:autoSpaceDE w:val="0"/>
              <w:autoSpaceDN w:val="0"/>
              <w:adjustRightInd w:val="0"/>
            </w:pPr>
            <w:proofErr w:type="spellStart"/>
            <w:r>
              <w:t>Phonton</w:t>
            </w:r>
            <w:proofErr w:type="spellEnd"/>
            <w:r>
              <w:t xml:space="preserve"> emitters</w:t>
            </w:r>
          </w:p>
        </w:tc>
        <w:tc>
          <w:tcPr>
            <w:tcW w:w="4845" w:type="dxa"/>
            <w:tcBorders>
              <w:bottom w:val="single" w:sz="4" w:space="0" w:color="auto"/>
            </w:tcBorders>
            <w:vAlign w:val="center"/>
          </w:tcPr>
          <w:p w:rsidR="00ED6335" w:rsidRPr="00C366F8" w:rsidRDefault="00ED6335" w:rsidP="00ED6335">
            <w:pPr>
              <w:widowControl w:val="0"/>
              <w:autoSpaceDE w:val="0"/>
              <w:autoSpaceDN w:val="0"/>
              <w:adjustRightInd w:val="0"/>
              <w:ind w:firstLine="6"/>
            </w:pPr>
            <w:proofErr w:type="spellStart"/>
            <w:r>
              <w:t>Conc</w:t>
            </w:r>
            <w:proofErr w:type="spellEnd"/>
            <w:r>
              <w:t xml:space="preserve"> HC1 or HNO </w:t>
            </w:r>
            <w:r w:rsidRPr="00F85B91">
              <w:rPr>
                <w:vertAlign w:val="superscript"/>
              </w:rPr>
              <w:t>3</w:t>
            </w:r>
            <w:r>
              <w:t xml:space="preserve"> to pH less than 2</w:t>
            </w:r>
          </w:p>
        </w:tc>
        <w:tc>
          <w:tcPr>
            <w:tcW w:w="2001" w:type="dxa"/>
            <w:tcBorders>
              <w:bottom w:val="single" w:sz="4" w:space="0" w:color="auto"/>
            </w:tcBorders>
            <w:vAlign w:val="center"/>
          </w:tcPr>
          <w:p w:rsidR="00ED6335" w:rsidRDefault="00ED6335" w:rsidP="00F31868">
            <w:pPr>
              <w:widowControl w:val="0"/>
              <w:autoSpaceDE w:val="0"/>
              <w:autoSpaceDN w:val="0"/>
              <w:adjustRightInd w:val="0"/>
              <w:jc w:val="center"/>
            </w:pPr>
            <w:r>
              <w:t>P or G</w:t>
            </w:r>
          </w:p>
        </w:tc>
      </w:tr>
    </w:tbl>
    <w:p w:rsidR="00ED6335" w:rsidRDefault="00ED6335" w:rsidP="00ED6335">
      <w:pPr>
        <w:widowControl w:val="0"/>
        <w:autoSpaceDE w:val="0"/>
        <w:autoSpaceDN w:val="0"/>
        <w:adjustRightInd w:val="0"/>
      </w:pPr>
    </w:p>
    <w:p w:rsidR="00ED6335" w:rsidRDefault="00ED6335" w:rsidP="00ED6335">
      <w:pPr>
        <w:widowControl w:val="0"/>
        <w:autoSpaceDE w:val="0"/>
        <w:autoSpaceDN w:val="0"/>
        <w:adjustRightInd w:val="0"/>
      </w:pPr>
      <w:r>
        <w:t xml:space="preserve">AGENCY NOTES: </w:t>
      </w:r>
    </w:p>
    <w:p w:rsidR="00422950" w:rsidRDefault="00422950" w:rsidP="00ED6335">
      <w:pPr>
        <w:widowControl w:val="0"/>
        <w:autoSpaceDE w:val="0"/>
        <w:autoSpaceDN w:val="0"/>
        <w:adjustRightInd w:val="0"/>
      </w:pPr>
    </w:p>
    <w:p w:rsidR="00ED6335" w:rsidRDefault="00ED6335" w:rsidP="00FD1181">
      <w:pPr>
        <w:widowControl w:val="0"/>
        <w:autoSpaceDE w:val="0"/>
        <w:autoSpaceDN w:val="0"/>
        <w:adjustRightInd w:val="0"/>
        <w:ind w:left="1026" w:hanging="306"/>
      </w:pPr>
      <w:r>
        <w:rPr>
          <w:vertAlign w:val="superscript"/>
        </w:rPr>
        <w:t>a</w:t>
      </w:r>
      <w:r>
        <w:tab/>
        <w:t xml:space="preserve">If a laboratory has no control over these factors, the laboratory director must reject any samples not meeting these criteria and so notify the authority requesting the analyses. </w:t>
      </w:r>
    </w:p>
    <w:p w:rsidR="00422950" w:rsidRDefault="00422950" w:rsidP="00FD1181">
      <w:pPr>
        <w:widowControl w:val="0"/>
        <w:autoSpaceDE w:val="0"/>
        <w:autoSpaceDN w:val="0"/>
        <w:adjustRightInd w:val="0"/>
        <w:ind w:left="1026" w:hanging="306"/>
      </w:pPr>
    </w:p>
    <w:p w:rsidR="00ED6335" w:rsidRDefault="00ED6335" w:rsidP="00FD1181">
      <w:pPr>
        <w:widowControl w:val="0"/>
        <w:autoSpaceDE w:val="0"/>
        <w:autoSpaceDN w:val="0"/>
        <w:adjustRightInd w:val="0"/>
        <w:ind w:left="1026" w:hanging="306"/>
      </w:pPr>
      <w:r>
        <w:rPr>
          <w:vertAlign w:val="superscript"/>
        </w:rPr>
        <w:t>b</w:t>
      </w:r>
      <w:r>
        <w:tab/>
        <w:t xml:space="preserve">Preservative shall be added to the sample at the time of collection, unless suspended solids are to be measured or unless the concentrated acid specified for preservation cannot be added because of shipping restrictions. If it is necessary to ship the sample unpreserved to the laboratory or storage area, acidification may be delayed up to 5 days.  After acidification, samples shall be thoroughly mixed and then preserved for a minimum of 16 hours before analysis. </w:t>
      </w:r>
    </w:p>
    <w:p w:rsidR="00422950" w:rsidRDefault="00422950" w:rsidP="00FD1181">
      <w:pPr>
        <w:widowControl w:val="0"/>
        <w:autoSpaceDE w:val="0"/>
        <w:autoSpaceDN w:val="0"/>
        <w:adjustRightInd w:val="0"/>
        <w:ind w:left="1026" w:hanging="306"/>
      </w:pPr>
    </w:p>
    <w:p w:rsidR="00ED6335" w:rsidRDefault="00ED6335" w:rsidP="00FD1181">
      <w:pPr>
        <w:widowControl w:val="0"/>
        <w:autoSpaceDE w:val="0"/>
        <w:autoSpaceDN w:val="0"/>
        <w:adjustRightInd w:val="0"/>
        <w:ind w:left="1026" w:hanging="306"/>
      </w:pPr>
      <w:r>
        <w:rPr>
          <w:vertAlign w:val="superscript"/>
        </w:rPr>
        <w:t>c</w:t>
      </w:r>
      <w:r>
        <w:tab/>
        <w:t xml:space="preserve">P = Plastic, hard or soft; G = Glass, borosilicate or flint. </w:t>
      </w:r>
    </w:p>
    <w:p w:rsidR="00422950" w:rsidRDefault="00422950" w:rsidP="00FD1181">
      <w:pPr>
        <w:widowControl w:val="0"/>
        <w:autoSpaceDE w:val="0"/>
        <w:autoSpaceDN w:val="0"/>
        <w:adjustRightInd w:val="0"/>
        <w:ind w:left="1026" w:hanging="306"/>
      </w:pPr>
    </w:p>
    <w:p w:rsidR="00ED6335" w:rsidRDefault="00ED6335" w:rsidP="00FD1181">
      <w:pPr>
        <w:widowControl w:val="0"/>
        <w:autoSpaceDE w:val="0"/>
        <w:autoSpaceDN w:val="0"/>
        <w:adjustRightInd w:val="0"/>
        <w:ind w:left="1026" w:hanging="306"/>
      </w:pPr>
      <w:r>
        <w:rPr>
          <w:vertAlign w:val="superscript"/>
        </w:rPr>
        <w:t>d</w:t>
      </w:r>
      <w:r>
        <w:tab/>
        <w:t xml:space="preserve">If HC1 is used to acidify samples to be analyzed for gross alpha or gross beta activity, the acid salts shall be converted to nitrate salts before transfer of samples to </w:t>
      </w:r>
      <w:proofErr w:type="spellStart"/>
      <w:r>
        <w:t>planchets</w:t>
      </w:r>
      <w:proofErr w:type="spellEnd"/>
      <w:r>
        <w:t xml:space="preserve">. </w:t>
      </w:r>
    </w:p>
    <w:sectPr w:rsidR="00ED6335" w:rsidSect="00CE26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2617"/>
    <w:rsid w:val="00422950"/>
    <w:rsid w:val="004531F7"/>
    <w:rsid w:val="005C3366"/>
    <w:rsid w:val="006C49F1"/>
    <w:rsid w:val="00942F98"/>
    <w:rsid w:val="00C366F8"/>
    <w:rsid w:val="00CE2617"/>
    <w:rsid w:val="00D711B7"/>
    <w:rsid w:val="00ED6335"/>
    <w:rsid w:val="00F31868"/>
    <w:rsid w:val="00F85B91"/>
    <w:rsid w:val="00FD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633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633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