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B3" w:rsidRDefault="00990384" w:rsidP="007548B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548B3">
        <w:rPr>
          <w:b/>
          <w:bCs/>
        </w:rPr>
        <w:lastRenderedPageBreak/>
        <w:t>Section 501.APPENDIX A   Wording of the Block Grant Agreement</w:t>
      </w:r>
      <w:r w:rsidR="007548B3">
        <w:t xml:space="preserve"> </w:t>
      </w:r>
      <w:r w:rsidR="006A0860" w:rsidRPr="006A0860">
        <w:rPr>
          <w:b/>
        </w:rPr>
        <w:t>(Repealed)</w:t>
      </w:r>
    </w:p>
    <w:p w:rsidR="007548B3" w:rsidRDefault="007548B3" w:rsidP="007548B3">
      <w:pPr>
        <w:widowControl w:val="0"/>
        <w:autoSpaceDE w:val="0"/>
        <w:autoSpaceDN w:val="0"/>
        <w:adjustRightInd w:val="0"/>
      </w:pPr>
    </w:p>
    <w:p w:rsidR="006A0860" w:rsidRPr="00935A8C" w:rsidRDefault="006A0860" w:rsidP="006A086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33 Ill. Reg. </w:t>
      </w:r>
      <w:r w:rsidR="00374CE1">
        <w:t>9110</w:t>
      </w:r>
      <w:r>
        <w:t xml:space="preserve">, effective </w:t>
      </w:r>
      <w:r w:rsidR="007C418F">
        <w:t>June 11, 2009</w:t>
      </w:r>
      <w:r>
        <w:t>)</w:t>
      </w:r>
    </w:p>
    <w:sectPr w:rsidR="006A0860" w:rsidRPr="00935A8C" w:rsidSect="009C6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5F3"/>
    <w:rsid w:val="001947E4"/>
    <w:rsid w:val="002F0840"/>
    <w:rsid w:val="00374CE1"/>
    <w:rsid w:val="003E558A"/>
    <w:rsid w:val="00400F34"/>
    <w:rsid w:val="00494FB9"/>
    <w:rsid w:val="005C3366"/>
    <w:rsid w:val="005F1EE8"/>
    <w:rsid w:val="006A0860"/>
    <w:rsid w:val="007548B3"/>
    <w:rsid w:val="007C418F"/>
    <w:rsid w:val="00935A8C"/>
    <w:rsid w:val="00990384"/>
    <w:rsid w:val="009C64CB"/>
    <w:rsid w:val="009D18F2"/>
    <w:rsid w:val="00A14D53"/>
    <w:rsid w:val="00AC7651"/>
    <w:rsid w:val="00B144B0"/>
    <w:rsid w:val="00C610D9"/>
    <w:rsid w:val="00EA45F3"/>
    <w:rsid w:val="00F06D62"/>
    <w:rsid w:val="00F31868"/>
    <w:rsid w:val="00F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8B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8B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