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EB" w:rsidRDefault="00610DEB" w:rsidP="00610DEB">
      <w:pPr>
        <w:widowControl w:val="0"/>
        <w:autoSpaceDE w:val="0"/>
        <w:autoSpaceDN w:val="0"/>
        <w:adjustRightInd w:val="0"/>
      </w:pPr>
    </w:p>
    <w:p w:rsidR="00610DEB" w:rsidRDefault="00610DEB" w:rsidP="00610D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101.400  Appearances, Withdrawals, and Substitutions of Attorneys in Adjudicatory Proceedings</w:t>
      </w:r>
      <w:r>
        <w:t xml:space="preserve"> </w:t>
      </w:r>
    </w:p>
    <w:p w:rsidR="00610DEB" w:rsidRDefault="00610DEB" w:rsidP="00610DEB">
      <w:pPr>
        <w:widowControl w:val="0"/>
        <w:autoSpaceDE w:val="0"/>
        <w:autoSpaceDN w:val="0"/>
        <w:adjustRightInd w:val="0"/>
      </w:pPr>
    </w:p>
    <w:p w:rsidR="00610DEB" w:rsidRDefault="00610DEB" w:rsidP="00610D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Appearances.  A person who is a party in a Board adjudicatory proceeding may appear as follows: </w:t>
      </w:r>
    </w:p>
    <w:p w:rsidR="00EB2BDF" w:rsidRDefault="00EB2BDF" w:rsidP="00925F3E"/>
    <w:p w:rsidR="00610DEB" w:rsidRDefault="00610DEB" w:rsidP="00610D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Individuals may appear on their own behalf or through an attorney-at-law licensed and registered to practice law. (</w:t>
      </w:r>
      <w:r w:rsidR="00310018">
        <w:t xml:space="preserve">See </w:t>
      </w:r>
      <w:r>
        <w:t xml:space="preserve">Section 1 of the Attorney Act [705 </w:t>
      </w:r>
      <w:proofErr w:type="spellStart"/>
      <w:r>
        <w:t>ILCS</w:t>
      </w:r>
      <w:proofErr w:type="spellEnd"/>
      <w:r>
        <w:t xml:space="preserve"> 205/1]</w:t>
      </w:r>
      <w:r w:rsidR="00310018">
        <w:t>.</w:t>
      </w:r>
      <w:r>
        <w:t xml:space="preserve">) </w:t>
      </w:r>
    </w:p>
    <w:p w:rsidR="00EB2BDF" w:rsidRDefault="00EB2BDF" w:rsidP="00925F3E"/>
    <w:p w:rsidR="00610DEB" w:rsidRDefault="00610DEB" w:rsidP="00610D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When appearing before the Board, any person other than individuals must appear through an attorney-at-law licensed and registered to practice law.  (</w:t>
      </w:r>
      <w:r w:rsidR="00310018">
        <w:t xml:space="preserve">See </w:t>
      </w:r>
      <w:r>
        <w:t xml:space="preserve">Section 1 of the Corporation Practice of Law Prohibition Act [705 </w:t>
      </w:r>
      <w:proofErr w:type="spellStart"/>
      <w:r>
        <w:t>ILCS</w:t>
      </w:r>
      <w:proofErr w:type="spellEnd"/>
      <w:r>
        <w:t xml:space="preserve"> 220/1] and Section 1 of the Attorney Act</w:t>
      </w:r>
      <w:r w:rsidR="00310018">
        <w:t>.</w:t>
      </w:r>
      <w:r>
        <w:t xml:space="preserve">) </w:t>
      </w:r>
    </w:p>
    <w:p w:rsidR="00EB2BDF" w:rsidRDefault="00EB2BDF" w:rsidP="00925F3E"/>
    <w:p w:rsidR="00235306" w:rsidRPr="00235306" w:rsidRDefault="00610DEB" w:rsidP="00235306">
      <w:pPr>
        <w:ind w:left="2160" w:hanging="720"/>
      </w:pPr>
      <w:r>
        <w:t>3)</w:t>
      </w:r>
      <w:r>
        <w:tab/>
      </w:r>
      <w:r w:rsidR="00235306" w:rsidRPr="00235306">
        <w:t xml:space="preserve">An out-of-state attorney may appear as counsel and provide legal services in a proceeding before the Board only if the attorney has permission to do so </w:t>
      </w:r>
      <w:r w:rsidR="00A158A9">
        <w:t>under</w:t>
      </w:r>
      <w:r w:rsidR="00235306" w:rsidRPr="00235306">
        <w:t xml:space="preserve"> </w:t>
      </w:r>
      <w:r w:rsidR="00AD5085">
        <w:t xml:space="preserve">Illinois </w:t>
      </w:r>
      <w:r w:rsidR="00235306" w:rsidRPr="00235306">
        <w:t xml:space="preserve">Supreme Court Rule 707.  No Board order is required for an out-of-state attorney to appear and no </w:t>
      </w:r>
      <w:r w:rsidR="00D971C7">
        <w:t>motion</w:t>
      </w:r>
      <w:r w:rsidR="00235306" w:rsidRPr="00235306">
        <w:t xml:space="preserve"> to appear pro </w:t>
      </w:r>
      <w:proofErr w:type="spellStart"/>
      <w:r w:rsidR="00235306" w:rsidRPr="00235306">
        <w:t>hac</w:t>
      </w:r>
      <w:proofErr w:type="spellEnd"/>
      <w:r w:rsidR="00235306" w:rsidRPr="00235306">
        <w:t xml:space="preserve"> vice </w:t>
      </w:r>
      <w:r w:rsidR="00A158A9">
        <w:t>is necessary</w:t>
      </w:r>
      <w:r w:rsidR="00235306" w:rsidRPr="00235306">
        <w:t>.  The out</w:t>
      </w:r>
      <w:r w:rsidR="00925F3E">
        <w:noBreakHyphen/>
      </w:r>
      <w:r w:rsidR="00235306" w:rsidRPr="00235306">
        <w:t>of</w:t>
      </w:r>
      <w:r w:rsidR="00925F3E">
        <w:noBreakHyphen/>
      </w:r>
      <w:r w:rsidR="00235306" w:rsidRPr="00235306">
        <w:t>state attorney</w:t>
      </w:r>
      <w:r w:rsidR="00BA35FD">
        <w:t>'</w:t>
      </w:r>
      <w:r w:rsidR="00235306" w:rsidRPr="00235306">
        <w:t>s appearance must include the following:</w:t>
      </w:r>
    </w:p>
    <w:p w:rsidR="00235306" w:rsidRPr="00235306" w:rsidRDefault="00235306" w:rsidP="00925F3E"/>
    <w:p w:rsidR="00235306" w:rsidRPr="00235306" w:rsidRDefault="00235306" w:rsidP="00235306">
      <w:pPr>
        <w:ind w:left="2880" w:hanging="720"/>
      </w:pPr>
      <w:r w:rsidRPr="00235306">
        <w:t>A)</w:t>
      </w:r>
      <w:r>
        <w:tab/>
      </w:r>
      <w:r w:rsidRPr="00235306">
        <w:t>A representation that the out-of-state attorney is in, and will maintain throughout the proceeding, compliance with Supreme Court Rule 707; and</w:t>
      </w:r>
    </w:p>
    <w:p w:rsidR="00235306" w:rsidRPr="00235306" w:rsidRDefault="00235306" w:rsidP="00925F3E"/>
    <w:p w:rsidR="00610DEB" w:rsidRDefault="00235306" w:rsidP="00235306">
      <w:pPr>
        <w:widowControl w:val="0"/>
        <w:autoSpaceDE w:val="0"/>
        <w:autoSpaceDN w:val="0"/>
        <w:adjustRightInd w:val="0"/>
        <w:ind w:left="2880" w:hanging="720"/>
      </w:pPr>
      <w:r w:rsidRPr="00235306">
        <w:t>B)</w:t>
      </w:r>
      <w:r>
        <w:tab/>
      </w:r>
      <w:r w:rsidRPr="00235306">
        <w:t>Identification of the active status Illinois attorney associated with the out-of</w:t>
      </w:r>
      <w:r w:rsidR="00263FFE">
        <w:t>-</w:t>
      </w:r>
      <w:r w:rsidRPr="00235306">
        <w:t xml:space="preserve">state attorney </w:t>
      </w:r>
      <w:r w:rsidR="00A158A9">
        <w:t>under</w:t>
      </w:r>
      <w:r w:rsidRPr="00235306">
        <w:t xml:space="preserve"> Supreme Court Rule 707 and the date on which the active status Illinois attorney filed an appearance in the proceeding.</w:t>
      </w:r>
      <w:r w:rsidR="00610DEB">
        <w:t xml:space="preserve"> </w:t>
      </w:r>
    </w:p>
    <w:p w:rsidR="00EB2BDF" w:rsidRDefault="00EB2BDF" w:rsidP="00925F3E"/>
    <w:p w:rsidR="00A158A9" w:rsidRDefault="00610DEB" w:rsidP="00610DE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attorney appearing in a representative capacity must file a separate written appearance with the Clerk, together with </w:t>
      </w:r>
      <w:r w:rsidR="00BF20B8">
        <w:t>documentation</w:t>
      </w:r>
      <w:r>
        <w:t xml:space="preserve"> of service </w:t>
      </w:r>
      <w:r w:rsidR="00235306">
        <w:t xml:space="preserve">of the appearance </w:t>
      </w:r>
      <w:r w:rsidR="00A158A9">
        <w:t>under</w:t>
      </w:r>
      <w:r w:rsidR="00235306">
        <w:t xml:space="preserve"> Section 101.304(d) </w:t>
      </w:r>
      <w:r>
        <w:t xml:space="preserve">and notice of filing of the appearance </w:t>
      </w:r>
      <w:r w:rsidR="00A158A9">
        <w:t>under</w:t>
      </w:r>
      <w:r w:rsidR="00235306">
        <w:t xml:space="preserve"> Section 101.304(b)(2)</w:t>
      </w:r>
      <w:r>
        <w:t xml:space="preserve">.  </w:t>
      </w:r>
      <w:r w:rsidR="00A158A9">
        <w:t>The appe</w:t>
      </w:r>
      <w:r w:rsidR="00402E13">
        <w:t>a</w:t>
      </w:r>
      <w:r w:rsidR="00A158A9">
        <w:t>rance must include:</w:t>
      </w:r>
    </w:p>
    <w:p w:rsidR="00A158A9" w:rsidRDefault="00A158A9" w:rsidP="007B77DF">
      <w:pPr>
        <w:widowControl w:val="0"/>
        <w:autoSpaceDE w:val="0"/>
        <w:autoSpaceDN w:val="0"/>
        <w:adjustRightInd w:val="0"/>
      </w:pPr>
    </w:p>
    <w:p w:rsidR="00610DEB" w:rsidRDefault="00A158A9" w:rsidP="00A158A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For law</w:t>
      </w:r>
      <w:r w:rsidR="00610DEB">
        <w:t xml:space="preserve"> firms, the Agency, and the Attorney General's Office</w:t>
      </w:r>
      <w:r w:rsidR="00724C6E">
        <w:t>,</w:t>
      </w:r>
      <w:r w:rsidR="00610DEB">
        <w:t xml:space="preserve"> a lead attorney </w:t>
      </w:r>
      <w:r>
        <w:t xml:space="preserve">must be designated </w:t>
      </w:r>
      <w:r w:rsidR="00610DEB">
        <w:t xml:space="preserve">for phone and mail contact pertaining to the proceeding. Absent written notice, the Board will designate the attorney whose signature appears first on the </w:t>
      </w:r>
      <w:r w:rsidR="00235306">
        <w:t>party's first filing</w:t>
      </w:r>
      <w:r w:rsidR="00610DEB">
        <w:t xml:space="preserve"> as the lead attorney. </w:t>
      </w:r>
    </w:p>
    <w:p w:rsidR="00A158A9" w:rsidRDefault="00A158A9" w:rsidP="007B77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8A9" w:rsidRDefault="00A158A9" w:rsidP="00A158A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attorney's business address and designation of a primary e-mail address for service by e-mail</w:t>
      </w:r>
      <w:r w:rsidR="002045DB">
        <w:t>.</w:t>
      </w:r>
      <w:r w:rsidR="00D971C7">
        <w:t xml:space="preserve">  Up to two secondary e-mail addresses may also be included</w:t>
      </w:r>
      <w:r w:rsidR="00832E17">
        <w:t>.</w:t>
      </w:r>
    </w:p>
    <w:p w:rsidR="00EB2BDF" w:rsidRDefault="00EB2BDF" w:rsidP="00925F3E"/>
    <w:p w:rsidR="00610DEB" w:rsidRDefault="00610DEB" w:rsidP="00610DE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person </w:t>
      </w:r>
      <w:r w:rsidR="00235306">
        <w:t>seeking</w:t>
      </w:r>
      <w:r>
        <w:t xml:space="preserve"> to contest </w:t>
      </w:r>
      <w:r w:rsidR="00235306">
        <w:t xml:space="preserve">personal </w:t>
      </w:r>
      <w:r>
        <w:t>jurisdiction</w:t>
      </w:r>
      <w:r w:rsidR="00235306" w:rsidRPr="00604CBE">
        <w:t xml:space="preserve"> must do so by filing a motion with the Board </w:t>
      </w:r>
      <w:r w:rsidR="00263FFE">
        <w:t>consist</w:t>
      </w:r>
      <w:r w:rsidR="000C7B57">
        <w:t>e</w:t>
      </w:r>
      <w:r w:rsidR="00263FFE">
        <w:t>nt</w:t>
      </w:r>
      <w:r w:rsidR="00235306" w:rsidRPr="00604CBE">
        <w:t xml:space="preserve"> with Section 2-301 of the Code of Civil Procedure</w:t>
      </w:r>
      <w:r>
        <w:t>.</w:t>
      </w:r>
    </w:p>
    <w:p w:rsidR="00EB2BDF" w:rsidRDefault="00EB2BDF" w:rsidP="00925F3E"/>
    <w:p w:rsidR="00610DEB" w:rsidRDefault="00610DEB" w:rsidP="00610D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Withdrawals.  An attorney who has appeared in a representative capacity and who wishes to withdraw from that representation must file a notice of withdrawal with the Clerk, together with </w:t>
      </w:r>
      <w:r w:rsidR="00BF20B8">
        <w:t>documentation</w:t>
      </w:r>
      <w:r>
        <w:t xml:space="preserve"> of service and notice of filing on all parties or their representatives. </w:t>
      </w:r>
    </w:p>
    <w:p w:rsidR="00EB2BDF" w:rsidRDefault="00EB2BDF" w:rsidP="00925F3E"/>
    <w:p w:rsidR="00610DEB" w:rsidRDefault="00610DEB" w:rsidP="00610D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Substitution.  Any attorney who substitutes for an attorney of record must file a written appearance </w:t>
      </w:r>
      <w:r w:rsidR="00A158A9">
        <w:t>under</w:t>
      </w:r>
      <w:r>
        <w:t xml:space="preserve"> subsection (a).  That appearance must identify the attorney for whom the substitution is made.  However, no attorney will be considered withdrawn from a proceeding until a formal withdrawal is filed in </w:t>
      </w:r>
      <w:r w:rsidR="00263FFE">
        <w:t>compliance</w:t>
      </w:r>
      <w:r>
        <w:t xml:space="preserve"> with subsection (b). </w:t>
      </w:r>
    </w:p>
    <w:p w:rsidR="00EB2BDF" w:rsidRDefault="00EB2BDF" w:rsidP="00925F3E"/>
    <w:p w:rsidR="00610DEB" w:rsidRDefault="00610DEB" w:rsidP="00610D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may appear on </w:t>
      </w:r>
      <w:r w:rsidR="00263FFE">
        <w:t xml:space="preserve">his or her own </w:t>
      </w:r>
      <w:r>
        <w:t xml:space="preserve">behalf or </w:t>
      </w:r>
      <w:r w:rsidR="00263FFE">
        <w:t>on others' behalf</w:t>
      </w:r>
      <w:r>
        <w:t xml:space="preserve"> in a rulemaking</w:t>
      </w:r>
      <w:r w:rsidR="00263FFE">
        <w:t>, consistent</w:t>
      </w:r>
      <w:r>
        <w:t xml:space="preserve"> with 35 Ill. Adm. Code 102.100(b)</w:t>
      </w:r>
      <w:r w:rsidR="00263FFE">
        <w:t xml:space="preserve">, or in a </w:t>
      </w:r>
      <w:proofErr w:type="spellStart"/>
      <w:r w:rsidR="00263FFE">
        <w:t>TLWQS</w:t>
      </w:r>
      <w:proofErr w:type="spellEnd"/>
      <w:r w:rsidR="00263FFE">
        <w:t xml:space="preserve"> proceeding</w:t>
      </w:r>
      <w:r>
        <w:t xml:space="preserve">. </w:t>
      </w:r>
    </w:p>
    <w:p w:rsidR="00BF20B8" w:rsidRDefault="00BF20B8" w:rsidP="00925F3E"/>
    <w:p w:rsidR="00BF20B8" w:rsidRDefault="00263FFE" w:rsidP="00610D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504C89">
        <w:t>9674</w:t>
      </w:r>
      <w:r>
        <w:t xml:space="preserve">, effective </w:t>
      </w:r>
      <w:r w:rsidR="00504C89">
        <w:t>August 22, 2019</w:t>
      </w:r>
      <w:r>
        <w:t>)</w:t>
      </w:r>
    </w:p>
    <w:sectPr w:rsidR="00BF20B8" w:rsidSect="00610D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DEB"/>
    <w:rsid w:val="000C7B57"/>
    <w:rsid w:val="002045DB"/>
    <w:rsid w:val="00235306"/>
    <w:rsid w:val="00263FFE"/>
    <w:rsid w:val="00283EF7"/>
    <w:rsid w:val="002B7197"/>
    <w:rsid w:val="00310018"/>
    <w:rsid w:val="00315C3C"/>
    <w:rsid w:val="003A0B99"/>
    <w:rsid w:val="003E0FAA"/>
    <w:rsid w:val="003E6384"/>
    <w:rsid w:val="00402E13"/>
    <w:rsid w:val="004E6C89"/>
    <w:rsid w:val="00504C89"/>
    <w:rsid w:val="00514BD0"/>
    <w:rsid w:val="005C3366"/>
    <w:rsid w:val="00610DEB"/>
    <w:rsid w:val="00646341"/>
    <w:rsid w:val="006737B4"/>
    <w:rsid w:val="006B77D4"/>
    <w:rsid w:val="00724C6E"/>
    <w:rsid w:val="00730CF4"/>
    <w:rsid w:val="007918D5"/>
    <w:rsid w:val="007B77DF"/>
    <w:rsid w:val="00832E17"/>
    <w:rsid w:val="00842FDB"/>
    <w:rsid w:val="00866792"/>
    <w:rsid w:val="008A1306"/>
    <w:rsid w:val="008D5374"/>
    <w:rsid w:val="008F6C68"/>
    <w:rsid w:val="00923DB6"/>
    <w:rsid w:val="00925F3E"/>
    <w:rsid w:val="00942EAB"/>
    <w:rsid w:val="009E3BDB"/>
    <w:rsid w:val="00A158A9"/>
    <w:rsid w:val="00AC1C90"/>
    <w:rsid w:val="00AD5085"/>
    <w:rsid w:val="00BA35FD"/>
    <w:rsid w:val="00BF20B8"/>
    <w:rsid w:val="00D70B64"/>
    <w:rsid w:val="00D971C7"/>
    <w:rsid w:val="00EB2BDF"/>
    <w:rsid w:val="00F45787"/>
    <w:rsid w:val="00F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E77A29-B6B8-43C4-B909-124C350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2019-08-28T20:21:00Z</dcterms:created>
  <dcterms:modified xsi:type="dcterms:W3CDTF">2019-09-04T17:25:00Z</dcterms:modified>
</cp:coreProperties>
</file>