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95" w:rsidRDefault="009C7E95" w:rsidP="009C7E95">
      <w:pPr>
        <w:widowControl w:val="0"/>
        <w:autoSpaceDE w:val="0"/>
        <w:autoSpaceDN w:val="0"/>
        <w:adjustRightInd w:val="0"/>
      </w:pPr>
      <w:bookmarkStart w:id="0" w:name="_GoBack"/>
      <w:bookmarkEnd w:id="0"/>
    </w:p>
    <w:p w:rsidR="009C7E95" w:rsidRDefault="009C7E95" w:rsidP="009C7E95">
      <w:pPr>
        <w:widowControl w:val="0"/>
        <w:autoSpaceDE w:val="0"/>
        <w:autoSpaceDN w:val="0"/>
        <w:adjustRightInd w:val="0"/>
      </w:pPr>
      <w:r>
        <w:rPr>
          <w:b/>
          <w:bCs/>
        </w:rPr>
        <w:t xml:space="preserve">Section </w:t>
      </w:r>
      <w:proofErr w:type="gramStart"/>
      <w:r>
        <w:rPr>
          <w:b/>
          <w:bCs/>
        </w:rPr>
        <w:t>168.290  Documentary</w:t>
      </w:r>
      <w:proofErr w:type="gramEnd"/>
      <w:r>
        <w:rPr>
          <w:b/>
          <w:bCs/>
        </w:rPr>
        <w:t xml:space="preserve"> Evidence</w:t>
      </w:r>
      <w:r>
        <w:t xml:space="preserve"> </w:t>
      </w:r>
    </w:p>
    <w:p w:rsidR="009C7E95" w:rsidRDefault="009C7E95" w:rsidP="009C7E95">
      <w:pPr>
        <w:widowControl w:val="0"/>
        <w:autoSpaceDE w:val="0"/>
        <w:autoSpaceDN w:val="0"/>
        <w:adjustRightInd w:val="0"/>
      </w:pPr>
    </w:p>
    <w:p w:rsidR="009C7E95" w:rsidRDefault="009C7E95" w:rsidP="009C7E95">
      <w:pPr>
        <w:widowControl w:val="0"/>
        <w:autoSpaceDE w:val="0"/>
        <w:autoSpaceDN w:val="0"/>
        <w:adjustRightInd w:val="0"/>
        <w:ind w:left="1440" w:hanging="720"/>
      </w:pPr>
      <w:r>
        <w:t>a)</w:t>
      </w:r>
      <w:r>
        <w:tab/>
        <w:t xml:space="preserve">Relevant scientific or technical articles, treatises, or materials may be introduced into evidence by stipulation of the parties, or subject to qualification of the author and subject to refutation or disputation through any introduction of comparable documentary evidence or expert testimony. </w:t>
      </w:r>
    </w:p>
    <w:p w:rsidR="00BB61FA" w:rsidRDefault="00BB61FA" w:rsidP="009C7E95">
      <w:pPr>
        <w:widowControl w:val="0"/>
        <w:autoSpaceDE w:val="0"/>
        <w:autoSpaceDN w:val="0"/>
        <w:adjustRightInd w:val="0"/>
        <w:ind w:left="1440" w:hanging="720"/>
      </w:pPr>
    </w:p>
    <w:p w:rsidR="009C7E95" w:rsidRDefault="009C7E95" w:rsidP="009C7E95">
      <w:pPr>
        <w:widowControl w:val="0"/>
        <w:autoSpaceDE w:val="0"/>
        <w:autoSpaceDN w:val="0"/>
        <w:adjustRightInd w:val="0"/>
        <w:ind w:left="1440" w:hanging="720"/>
      </w:pPr>
      <w:r>
        <w:t>b)</w:t>
      </w:r>
      <w:r>
        <w:tab/>
        <w:t xml:space="preserve">Any writing or record made as a memorandum of any act, transaction, occurrence or event shall be admissible as evidence of the act, transaction, occurrence or event provided it was made in the regular course of the business to make such a memorandum or record at the time of such an act, transaction, occurrence or event or within a reasonable time thereafter. </w:t>
      </w:r>
    </w:p>
    <w:p w:rsidR="00BB61FA" w:rsidRDefault="00BB61FA" w:rsidP="009C7E95">
      <w:pPr>
        <w:widowControl w:val="0"/>
        <w:autoSpaceDE w:val="0"/>
        <w:autoSpaceDN w:val="0"/>
        <w:adjustRightInd w:val="0"/>
        <w:ind w:left="1440" w:hanging="720"/>
      </w:pPr>
    </w:p>
    <w:p w:rsidR="009C7E95" w:rsidRDefault="009C7E95" w:rsidP="009C7E95">
      <w:pPr>
        <w:widowControl w:val="0"/>
        <w:autoSpaceDE w:val="0"/>
        <w:autoSpaceDN w:val="0"/>
        <w:adjustRightInd w:val="0"/>
        <w:ind w:left="1440" w:hanging="720"/>
      </w:pPr>
      <w:r>
        <w:t>c)</w:t>
      </w:r>
      <w:r>
        <w:tab/>
        <w:t xml:space="preserve">All other circumstances of the making of the writing or record, including lack of personal knowledge by the maker, may be shown to affect its weight but shall not affect its admissibility. </w:t>
      </w:r>
    </w:p>
    <w:sectPr w:rsidR="009C7E95" w:rsidSect="009C7E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7E95"/>
    <w:rsid w:val="000D3FCF"/>
    <w:rsid w:val="005C3366"/>
    <w:rsid w:val="009C7E95"/>
    <w:rsid w:val="00A76F61"/>
    <w:rsid w:val="00BB61FA"/>
    <w:rsid w:val="00D4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