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F2C" w:rsidRDefault="00F47F2C" w:rsidP="00424425">
      <w:pPr>
        <w:rPr>
          <w:rFonts w:ascii="Times New Roman" w:hAnsi="Times New Roman"/>
          <w:b/>
        </w:rPr>
      </w:pPr>
    </w:p>
    <w:p w:rsidR="00E627C4" w:rsidRPr="00424425" w:rsidRDefault="00E627C4" w:rsidP="00424425">
      <w:pPr>
        <w:rPr>
          <w:rFonts w:ascii="Times New Roman" w:hAnsi="Times New Roman"/>
          <w:b/>
        </w:rPr>
      </w:pPr>
      <w:r w:rsidRPr="00424425">
        <w:rPr>
          <w:rFonts w:ascii="Times New Roman" w:hAnsi="Times New Roman"/>
          <w:b/>
        </w:rPr>
        <w:t>Section 201.530  Recordkeeping and Reporting</w:t>
      </w:r>
    </w:p>
    <w:p w:rsidR="000174EB" w:rsidRPr="00424425" w:rsidRDefault="000174EB" w:rsidP="00424425"/>
    <w:p w:rsidR="00E627C4" w:rsidRPr="00424425" w:rsidRDefault="00E627C4" w:rsidP="00424425">
      <w:r w:rsidRPr="00424425">
        <w:t>The owner or operator of the emission unit must:</w:t>
      </w:r>
    </w:p>
    <w:p w:rsidR="00E627C4" w:rsidRPr="00424425" w:rsidRDefault="00E627C4" w:rsidP="00424425"/>
    <w:p w:rsidR="00E627C4" w:rsidRPr="00424425" w:rsidRDefault="00E627C4" w:rsidP="00424425">
      <w:pPr>
        <w:ind w:left="1440" w:hanging="720"/>
      </w:pPr>
      <w:r w:rsidRPr="00424425">
        <w:t>a)</w:t>
      </w:r>
      <w:r w:rsidRPr="00424425">
        <w:tab/>
        <w:t xml:space="preserve">Keep and maintain all records used to demonstrate initial compliance and ongoing compliance with the applicable requirements of Subpart M and the applicable PBR Subpart, as well as any additional records required by and reported pursuant to </w:t>
      </w:r>
      <w:r w:rsidR="002C793E">
        <w:t xml:space="preserve">those </w:t>
      </w:r>
      <w:r w:rsidRPr="00424425">
        <w:t xml:space="preserve">Subparts, for at least five years from the date the document is created and make all records available to the Agency for inspection and copying upon request. </w:t>
      </w:r>
      <w:r w:rsidR="002C793E">
        <w:t>These</w:t>
      </w:r>
      <w:r w:rsidRPr="00424425">
        <w:t xml:space="preserve"> records include any records required by State or federal laws or regulations and any materials submitted to the Agency or USEPA pertaining to the emission unit.  Any record retained in an electronic format must be capable of being retrieved and printed on paper during normal source office hours.</w:t>
      </w:r>
    </w:p>
    <w:p w:rsidR="00E627C4" w:rsidRPr="00424425" w:rsidRDefault="00E627C4" w:rsidP="00424425"/>
    <w:p w:rsidR="00E627C4" w:rsidRPr="00424425" w:rsidRDefault="00E627C4" w:rsidP="00424425">
      <w:pPr>
        <w:ind w:left="1440" w:hanging="720"/>
      </w:pPr>
      <w:r w:rsidRPr="00424425">
        <w:t>b)</w:t>
      </w:r>
      <w:r w:rsidRPr="00424425">
        <w:tab/>
        <w:t>Notify the Agency of the emission unit</w:t>
      </w:r>
      <w:r w:rsidR="008265D6">
        <w:t>'</w:t>
      </w:r>
      <w:r w:rsidRPr="00424425">
        <w:t xml:space="preserve">s actual start-up date no later than </w:t>
      </w:r>
      <w:r w:rsidR="002C793E">
        <w:t>30</w:t>
      </w:r>
      <w:r w:rsidRPr="00424425">
        <w:t xml:space="preserve"> days after </w:t>
      </w:r>
      <w:r w:rsidR="002C793E">
        <w:t>that</w:t>
      </w:r>
      <w:r w:rsidRPr="00424425">
        <w:t xml:space="preserve"> date, unless an earlier date is specified in the applicable PBR.</w:t>
      </w:r>
    </w:p>
    <w:p w:rsidR="00E627C4" w:rsidRPr="00424425" w:rsidRDefault="00E627C4" w:rsidP="00424425"/>
    <w:p w:rsidR="00E627C4" w:rsidRPr="00424425" w:rsidRDefault="00E627C4" w:rsidP="00424425">
      <w:pPr>
        <w:ind w:left="1440" w:hanging="720"/>
      </w:pPr>
      <w:r w:rsidRPr="00424425">
        <w:t>c)</w:t>
      </w:r>
      <w:r w:rsidRPr="00424425">
        <w:tab/>
        <w:t xml:space="preserve">Except as otherwise provided in </w:t>
      </w:r>
      <w:r w:rsidR="002C793E">
        <w:t xml:space="preserve">this </w:t>
      </w:r>
      <w:r w:rsidRPr="00424425">
        <w:t xml:space="preserve">Subpart M or the applicable PBR Subpart, submit a written report of any deviations from the applicable emission standards, emission limitations, operational restrictions, qualifying criteria, work practice requirements, or control equipment operating parameter limitations set forth in </w:t>
      </w:r>
      <w:r w:rsidR="002C793E">
        <w:t xml:space="preserve">this </w:t>
      </w:r>
      <w:r w:rsidRPr="00424425">
        <w:t xml:space="preserve">Subpart M and the applicable PBR Subpart.  The report must be submitted to the Agency within 30 days </w:t>
      </w:r>
      <w:r w:rsidR="002C793E">
        <w:t>after</w:t>
      </w:r>
      <w:r w:rsidRPr="00424425">
        <w:t xml:space="preserve"> the date the deviation occurred and must describe the deviation (including the date, time, and duration of the deviation), identify the specific requirement from which the deviation occurred and the total amount of excess emissions during the deviation, and describe the probable cause of </w:t>
      </w:r>
      <w:r w:rsidR="002C793E">
        <w:t xml:space="preserve">the </w:t>
      </w:r>
      <w:r w:rsidRPr="00424425">
        <w:t>deviation and any corrective actions or preventive measures that have been or will be taken.</w:t>
      </w:r>
    </w:p>
    <w:p w:rsidR="00E627C4" w:rsidRPr="00424425" w:rsidRDefault="00E627C4" w:rsidP="00424425"/>
    <w:p w:rsidR="00E627C4" w:rsidRPr="00424425" w:rsidRDefault="00E627C4" w:rsidP="00424425">
      <w:pPr>
        <w:ind w:firstLine="720"/>
      </w:pPr>
      <w:r w:rsidRPr="00424425">
        <w:t>d)</w:t>
      </w:r>
      <w:r w:rsidRPr="00424425">
        <w:tab/>
        <w:t>If required to conduct a performance test:</w:t>
      </w:r>
    </w:p>
    <w:p w:rsidR="00E627C4" w:rsidRPr="00424425" w:rsidRDefault="00E627C4" w:rsidP="00424425"/>
    <w:p w:rsidR="00E627C4" w:rsidRPr="00424425" w:rsidRDefault="00E627C4" w:rsidP="00424425">
      <w:pPr>
        <w:ind w:left="2160" w:hanging="720"/>
      </w:pPr>
      <w:r w:rsidRPr="00424425">
        <w:t>1)</w:t>
      </w:r>
      <w:r w:rsidRPr="00424425">
        <w:tab/>
        <w:t xml:space="preserve">Submit </w:t>
      </w:r>
      <w:r w:rsidR="002C793E">
        <w:t xml:space="preserve">to the Agency </w:t>
      </w:r>
      <w:r w:rsidRPr="00424425">
        <w:t>a testing protocol as required by the applicable PBR Subpart at least 45 days prior to the scheduled performance test.  Upon written request directed to the Bureau of Air</w:t>
      </w:r>
      <w:r w:rsidR="00424425">
        <w:t>'</w:t>
      </w:r>
      <w:r w:rsidRPr="00424425">
        <w:t xml:space="preserve">s Compliance Section, the Agency may waive the 45-day requirement.  </w:t>
      </w:r>
      <w:r w:rsidR="002C793E">
        <w:t>A</w:t>
      </w:r>
      <w:r w:rsidRPr="00424425">
        <w:t xml:space="preserve"> waiver is only effective if it is provided in writing by the Bureau of Air;</w:t>
      </w:r>
    </w:p>
    <w:p w:rsidR="00E627C4" w:rsidRPr="00424425" w:rsidRDefault="00E627C4" w:rsidP="00424425"/>
    <w:p w:rsidR="00E627C4" w:rsidRPr="00424425" w:rsidRDefault="00E627C4" w:rsidP="00424425">
      <w:pPr>
        <w:ind w:left="2160" w:hanging="720"/>
      </w:pPr>
      <w:r w:rsidRPr="00424425">
        <w:t>2)</w:t>
      </w:r>
      <w:r w:rsidRPr="00424425">
        <w:tab/>
        <w:t xml:space="preserve">Notify the Agency in writing of the date of performance testing at least </w:t>
      </w:r>
      <w:r w:rsidR="002C793E">
        <w:t xml:space="preserve">30 </w:t>
      </w:r>
      <w:r w:rsidRPr="00424425">
        <w:t xml:space="preserve">days prior to testing and again 5 days prior to </w:t>
      </w:r>
      <w:r w:rsidR="002C793E">
        <w:t>the</w:t>
      </w:r>
      <w:r w:rsidRPr="00424425">
        <w:t xml:space="preserve"> testing, unless the emission unit is subject to other State or federal requirements that specify a longer notification period.  Upon written request directed to the Bureau of Air</w:t>
      </w:r>
      <w:r w:rsidR="008265D6">
        <w:t>'</w:t>
      </w:r>
      <w:r w:rsidRPr="00424425">
        <w:t xml:space="preserve">s Compliance Section, the Agency may waive either or both of these requirements.  </w:t>
      </w:r>
      <w:r w:rsidR="002C793E">
        <w:t>A</w:t>
      </w:r>
      <w:r w:rsidRPr="00424425">
        <w:t xml:space="preserve"> waiver is only effective if it is provided in writing by the Bureau of Air;</w:t>
      </w:r>
    </w:p>
    <w:p w:rsidR="00E627C4" w:rsidRPr="00424425" w:rsidRDefault="00E627C4" w:rsidP="00424425"/>
    <w:p w:rsidR="00E627C4" w:rsidRPr="00424425" w:rsidRDefault="00E627C4" w:rsidP="00424425">
      <w:pPr>
        <w:ind w:left="2160" w:hanging="720"/>
      </w:pPr>
      <w:r w:rsidRPr="00424425">
        <w:lastRenderedPageBreak/>
        <w:t>3)</w:t>
      </w:r>
      <w:r w:rsidRPr="00424425">
        <w:tab/>
        <w:t>If, after the 30-day notice for an initially scheduled performance test is sent, there is a delay (e.g., due to operational problems) in conducting the test as scheduled, notify the Agency of the delay in the original test date, directed to the Bureau of Air</w:t>
      </w:r>
      <w:r w:rsidR="008265D6">
        <w:t>'</w:t>
      </w:r>
      <w:r w:rsidRPr="00424425">
        <w:t>s Compliance Section, as soon as practicable.  This must be done either by providing at least a 7-day notice of the rescheduled date of the test or by arranging a new test date with the Agency by mutual agreement;</w:t>
      </w:r>
    </w:p>
    <w:p w:rsidR="00E627C4" w:rsidRPr="00424425" w:rsidRDefault="00E627C4" w:rsidP="00424425"/>
    <w:p w:rsidR="00E627C4" w:rsidRPr="00424425" w:rsidRDefault="00E627C4" w:rsidP="00424425">
      <w:pPr>
        <w:ind w:left="2160" w:hanging="720"/>
      </w:pPr>
      <w:r w:rsidRPr="00424425">
        <w:t>4)</w:t>
      </w:r>
      <w:r w:rsidRPr="00424425">
        <w:tab/>
        <w:t>Not later than 60 days after the completion of the performance test, submit the results of the test to the Agency.</w:t>
      </w:r>
    </w:p>
    <w:p w:rsidR="00E627C4" w:rsidRPr="00424425" w:rsidRDefault="00E627C4" w:rsidP="00424425"/>
    <w:p w:rsidR="00E627C4" w:rsidRPr="00424425" w:rsidRDefault="00E627C4" w:rsidP="00424425">
      <w:pPr>
        <w:ind w:left="1440" w:hanging="720"/>
      </w:pPr>
      <w:r w:rsidRPr="00424425">
        <w:t>e)</w:t>
      </w:r>
      <w:r w:rsidRPr="00424425">
        <w:tab/>
        <w:t>Submit any monitoring information required by the PBR as part of the Semi-Annual Monitoring Report required by the source</w:t>
      </w:r>
      <w:r w:rsidR="008265D6">
        <w:t>'</w:t>
      </w:r>
      <w:r w:rsidRPr="00424425">
        <w:t>s CAAPP permit.</w:t>
      </w:r>
    </w:p>
    <w:p w:rsidR="00E627C4" w:rsidRPr="00424425" w:rsidRDefault="00E627C4" w:rsidP="00424425"/>
    <w:p w:rsidR="00E627C4" w:rsidRPr="00424425" w:rsidRDefault="00E627C4" w:rsidP="00424425">
      <w:pPr>
        <w:ind w:firstLine="720"/>
      </w:pPr>
      <w:r w:rsidRPr="00424425">
        <w:t>f)</w:t>
      </w:r>
      <w:r w:rsidRPr="00424425">
        <w:tab/>
        <w:t>Provide copies of all required reports and Notifications as follows:</w:t>
      </w:r>
    </w:p>
    <w:p w:rsidR="00E627C4" w:rsidRPr="00424425" w:rsidRDefault="00E627C4" w:rsidP="00424425"/>
    <w:p w:rsidR="00E627C4" w:rsidRPr="00424425" w:rsidRDefault="00E627C4" w:rsidP="00424425">
      <w:pPr>
        <w:ind w:left="720" w:firstLine="720"/>
      </w:pPr>
      <w:r w:rsidRPr="00424425">
        <w:t>1)</w:t>
      </w:r>
      <w:r w:rsidRPr="00424425">
        <w:tab/>
        <w:t>One copy of the new or amended Notification must be sent to:</w:t>
      </w:r>
    </w:p>
    <w:p w:rsidR="00E627C4" w:rsidRPr="00424425" w:rsidRDefault="00E627C4" w:rsidP="00424425"/>
    <w:p w:rsidR="00E627C4" w:rsidRPr="00424425" w:rsidRDefault="00E627C4" w:rsidP="00424425">
      <w:pPr>
        <w:ind w:left="2160"/>
      </w:pPr>
      <w:r w:rsidRPr="00424425">
        <w:t>Illinois Environmental Protection Agency</w:t>
      </w:r>
    </w:p>
    <w:p w:rsidR="00E627C4" w:rsidRPr="00424425" w:rsidRDefault="00E627C4" w:rsidP="00424425">
      <w:pPr>
        <w:ind w:left="2160"/>
      </w:pPr>
      <w:r w:rsidRPr="00424425">
        <w:t>Bureau of Air</w:t>
      </w:r>
    </w:p>
    <w:p w:rsidR="00E627C4" w:rsidRPr="00424425" w:rsidRDefault="00E627C4" w:rsidP="00424425">
      <w:pPr>
        <w:ind w:left="2160"/>
      </w:pPr>
      <w:r w:rsidRPr="00424425">
        <w:t>Permit Section (#11)</w:t>
      </w:r>
    </w:p>
    <w:p w:rsidR="00E627C4" w:rsidRPr="00424425" w:rsidRDefault="00E627C4" w:rsidP="00424425">
      <w:pPr>
        <w:ind w:left="2160"/>
      </w:pPr>
      <w:r w:rsidRPr="00424425">
        <w:t>P.O. Box 19506</w:t>
      </w:r>
    </w:p>
    <w:p w:rsidR="00E627C4" w:rsidRPr="00424425" w:rsidRDefault="00E627C4" w:rsidP="00424425">
      <w:pPr>
        <w:ind w:left="2160"/>
      </w:pPr>
      <w:r w:rsidRPr="00424425">
        <w:t>Springfield, Illinois 62794-9506</w:t>
      </w:r>
    </w:p>
    <w:p w:rsidR="00E627C4" w:rsidRPr="00424425" w:rsidRDefault="00E627C4" w:rsidP="00424425"/>
    <w:p w:rsidR="00E627C4" w:rsidRPr="00424425" w:rsidRDefault="00E627C4" w:rsidP="00424425">
      <w:pPr>
        <w:ind w:left="720" w:firstLine="720"/>
      </w:pPr>
      <w:r w:rsidRPr="00424425">
        <w:t>2)</w:t>
      </w:r>
      <w:r w:rsidRPr="00424425">
        <w:tab/>
        <w:t>One copy of all other reports and notices must be sent to:</w:t>
      </w:r>
    </w:p>
    <w:p w:rsidR="00E627C4" w:rsidRPr="00424425" w:rsidRDefault="00E627C4" w:rsidP="00424425"/>
    <w:p w:rsidR="00E627C4" w:rsidRPr="00424425" w:rsidRDefault="00E627C4" w:rsidP="00424425">
      <w:pPr>
        <w:ind w:left="2160"/>
      </w:pPr>
      <w:r w:rsidRPr="00424425">
        <w:t>Illinois Environmental Protection Agency</w:t>
      </w:r>
    </w:p>
    <w:p w:rsidR="00E627C4" w:rsidRPr="00424425" w:rsidRDefault="00E627C4" w:rsidP="00424425">
      <w:pPr>
        <w:ind w:left="2160"/>
      </w:pPr>
      <w:r w:rsidRPr="00424425">
        <w:t>Bureau of Air</w:t>
      </w:r>
    </w:p>
    <w:p w:rsidR="00E627C4" w:rsidRPr="00424425" w:rsidRDefault="00E627C4" w:rsidP="00424425">
      <w:pPr>
        <w:ind w:left="2160"/>
      </w:pPr>
      <w:r w:rsidRPr="00424425">
        <w:t>Compliance Section (#40)</w:t>
      </w:r>
    </w:p>
    <w:p w:rsidR="00E627C4" w:rsidRPr="00424425" w:rsidRDefault="00E627C4" w:rsidP="00424425">
      <w:pPr>
        <w:ind w:left="2160"/>
      </w:pPr>
      <w:r w:rsidRPr="00424425">
        <w:t>P.O. Box 19276</w:t>
      </w:r>
    </w:p>
    <w:p w:rsidR="00E627C4" w:rsidRPr="00424425" w:rsidRDefault="00E627C4" w:rsidP="00424425">
      <w:pPr>
        <w:ind w:left="2160"/>
      </w:pPr>
      <w:r w:rsidRPr="00424425">
        <w:t xml:space="preserve">Springfield, Illinois 62794-9276 </w:t>
      </w:r>
    </w:p>
    <w:p w:rsidR="00E627C4" w:rsidRPr="00424425" w:rsidRDefault="00E627C4" w:rsidP="00424425"/>
    <w:p w:rsidR="00E627C4" w:rsidRPr="00424425" w:rsidRDefault="005E6D77" w:rsidP="00E964E2">
      <w:pPr>
        <w:ind w:firstLine="720"/>
      </w:pPr>
      <w:r>
        <w:t>(Source:  Added at 41</w:t>
      </w:r>
      <w:r w:rsidR="00E627C4" w:rsidRPr="00424425">
        <w:t xml:space="preserve"> Ill. Reg. </w:t>
      </w:r>
      <w:r w:rsidR="006B4DD2">
        <w:t>4140</w:t>
      </w:r>
      <w:r w:rsidR="00E627C4" w:rsidRPr="00424425">
        <w:t xml:space="preserve">, effective </w:t>
      </w:r>
      <w:bookmarkStart w:id="0" w:name="_GoBack"/>
      <w:r w:rsidR="006B4DD2">
        <w:t>March 24, 2017</w:t>
      </w:r>
      <w:bookmarkEnd w:id="0"/>
      <w:r w:rsidR="00E627C4" w:rsidRPr="00424425">
        <w:t>)</w:t>
      </w:r>
    </w:p>
    <w:sectPr w:rsidR="00E627C4" w:rsidRPr="0042442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7C1" w:rsidRDefault="005877C1">
      <w:r>
        <w:separator/>
      </w:r>
    </w:p>
  </w:endnote>
  <w:endnote w:type="continuationSeparator" w:id="0">
    <w:p w:rsidR="005877C1" w:rsidRDefault="0058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7C1" w:rsidRDefault="005877C1">
      <w:r>
        <w:separator/>
      </w:r>
    </w:p>
  </w:footnote>
  <w:footnote w:type="continuationSeparator" w:id="0">
    <w:p w:rsidR="005877C1" w:rsidRDefault="00587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C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300"/>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93E"/>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425"/>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77C1"/>
    <w:rsid w:val="005901D4"/>
    <w:rsid w:val="005948A7"/>
    <w:rsid w:val="005A2494"/>
    <w:rsid w:val="005A3F43"/>
    <w:rsid w:val="005A73F7"/>
    <w:rsid w:val="005B2917"/>
    <w:rsid w:val="005C7438"/>
    <w:rsid w:val="005D35F3"/>
    <w:rsid w:val="005E03A7"/>
    <w:rsid w:val="005E3D55"/>
    <w:rsid w:val="005E5FC0"/>
    <w:rsid w:val="005E6D77"/>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DD2"/>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5D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427"/>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27C4"/>
    <w:rsid w:val="00E7024C"/>
    <w:rsid w:val="00E70D83"/>
    <w:rsid w:val="00E70F35"/>
    <w:rsid w:val="00E7288E"/>
    <w:rsid w:val="00E73826"/>
    <w:rsid w:val="00E7596C"/>
    <w:rsid w:val="00E82718"/>
    <w:rsid w:val="00E840DC"/>
    <w:rsid w:val="00E8439B"/>
    <w:rsid w:val="00E92947"/>
    <w:rsid w:val="00E964E2"/>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F2C"/>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A71D98-ADFE-4C97-A00E-C5C57AC3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7C4"/>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E627C4"/>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E62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2017-02-15T16:06:00Z</dcterms:created>
  <dcterms:modified xsi:type="dcterms:W3CDTF">2017-04-05T15:20:00Z</dcterms:modified>
</cp:coreProperties>
</file>