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AF" w:rsidRDefault="00A746AF" w:rsidP="00A746AF">
      <w:pPr>
        <w:widowControl w:val="0"/>
        <w:autoSpaceDE w:val="0"/>
        <w:autoSpaceDN w:val="0"/>
        <w:adjustRightInd w:val="0"/>
      </w:pPr>
      <w:bookmarkStart w:id="0" w:name="_GoBack"/>
      <w:bookmarkEnd w:id="0"/>
    </w:p>
    <w:p w:rsidR="00A746AF" w:rsidRDefault="00A746AF" w:rsidP="00A746AF">
      <w:pPr>
        <w:widowControl w:val="0"/>
        <w:autoSpaceDE w:val="0"/>
        <w:autoSpaceDN w:val="0"/>
        <w:adjustRightInd w:val="0"/>
      </w:pPr>
      <w:r>
        <w:rPr>
          <w:b/>
          <w:bCs/>
        </w:rPr>
        <w:t>Section 205.120  Abbreviations and Acronyms</w:t>
      </w:r>
      <w:r>
        <w:t xml:space="preserve"> </w:t>
      </w:r>
    </w:p>
    <w:p w:rsidR="00A746AF" w:rsidRDefault="00A746AF" w:rsidP="00A746AF">
      <w:pPr>
        <w:widowControl w:val="0"/>
        <w:autoSpaceDE w:val="0"/>
        <w:autoSpaceDN w:val="0"/>
        <w:adjustRightInd w:val="0"/>
      </w:pPr>
    </w:p>
    <w:p w:rsidR="00A746AF" w:rsidRDefault="00A746AF" w:rsidP="00A746AF">
      <w:pPr>
        <w:widowControl w:val="0"/>
        <w:autoSpaceDE w:val="0"/>
        <w:autoSpaceDN w:val="0"/>
        <w:adjustRightInd w:val="0"/>
      </w:pPr>
      <w:r>
        <w:t xml:space="preserve">Unless otherwise specified within this Part, the abbreviations used in this Part shall be the same as those found in 35 Ill. Adm. Code 211.  The following abbreviations and acronyms are used in this Part: </w:t>
      </w:r>
    </w:p>
    <w:p w:rsidR="00A746AF" w:rsidRDefault="00A746AF" w:rsidP="00A746AF">
      <w:pPr>
        <w:widowControl w:val="0"/>
        <w:autoSpaceDE w:val="0"/>
        <w:autoSpaceDN w:val="0"/>
        <w:adjustRightInd w:val="0"/>
      </w:pPr>
    </w:p>
    <w:tbl>
      <w:tblPr>
        <w:tblW w:w="0" w:type="auto"/>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1653"/>
        <w:gridCol w:w="7638"/>
      </w:tblGrid>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ACMA</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Alternative Compliance Market Account</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Act</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Environmental Protection Act [415 ILCS 5]</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ATU</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Allotment Trading Unit</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BAT</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Best Available Technology</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CAA</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Clean Air Act as amended in 1990 [42 U.S.C. 7401 through 7671q]</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CAAPP</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Clean Air Act Permit Program</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ERMS</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Emissions Reduction Market System</w:t>
            </w:r>
          </w:p>
        </w:tc>
      </w:tr>
      <w:tr w:rsidR="00764D52">
        <w:tblPrEx>
          <w:tblCellMar>
            <w:top w:w="0" w:type="dxa"/>
            <w:left w:w="0" w:type="dxa"/>
            <w:bottom w:w="0" w:type="dxa"/>
            <w:right w:w="0" w:type="dxa"/>
          </w:tblCellMar>
        </w:tblPrEx>
        <w:tc>
          <w:tcPr>
            <w:tcW w:w="1653" w:type="dxa"/>
            <w:tcBorders>
              <w:top w:val="nil"/>
              <w:left w:val="nil"/>
              <w:bottom w:val="nil"/>
              <w:right w:val="nil"/>
            </w:tcBorders>
          </w:tcPr>
          <w:p w:rsidR="00764D52" w:rsidRDefault="00764D52" w:rsidP="00A746AF">
            <w:pPr>
              <w:widowControl w:val="0"/>
              <w:autoSpaceDE w:val="0"/>
              <w:autoSpaceDN w:val="0"/>
              <w:adjustRightInd w:val="0"/>
            </w:pPr>
            <w:r>
              <w:t>FESOP</w:t>
            </w:r>
          </w:p>
        </w:tc>
        <w:tc>
          <w:tcPr>
            <w:tcW w:w="7638" w:type="dxa"/>
            <w:tcBorders>
              <w:top w:val="nil"/>
              <w:left w:val="nil"/>
              <w:bottom w:val="nil"/>
              <w:right w:val="nil"/>
            </w:tcBorders>
          </w:tcPr>
          <w:p w:rsidR="00764D52" w:rsidRDefault="00764D52" w:rsidP="00A746AF">
            <w:pPr>
              <w:widowControl w:val="0"/>
              <w:autoSpaceDE w:val="0"/>
              <w:autoSpaceDN w:val="0"/>
              <w:adjustRightInd w:val="0"/>
            </w:pPr>
            <w:r>
              <w:t>Federally Enforceable State Operating Permit</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LAER</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Lowest Achievable Emission Rate</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MACT</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Maximum Achievable Control Technology</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NAAQS</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National Ambient Air Quality Standard</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NESHAP</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National Emission Standards for Hazardous Air Pollutants</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RFP</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Reasonable Further Progress</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ROP</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Rate of Progress</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USEPA</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United Stated Environmental Protection Agency</w:t>
            </w:r>
          </w:p>
        </w:tc>
      </w:tr>
      <w:tr w:rsidR="00A746AF">
        <w:tblPrEx>
          <w:tblCellMar>
            <w:top w:w="0" w:type="dxa"/>
            <w:left w:w="0" w:type="dxa"/>
            <w:bottom w:w="0" w:type="dxa"/>
            <w:right w:w="0" w:type="dxa"/>
          </w:tblCellMar>
        </w:tblPrEx>
        <w:tc>
          <w:tcPr>
            <w:tcW w:w="1653" w:type="dxa"/>
            <w:tcBorders>
              <w:top w:val="nil"/>
              <w:left w:val="nil"/>
              <w:bottom w:val="nil"/>
              <w:right w:val="nil"/>
            </w:tcBorders>
          </w:tcPr>
          <w:p w:rsidR="00A746AF" w:rsidRDefault="00A746AF" w:rsidP="00A746AF">
            <w:pPr>
              <w:widowControl w:val="0"/>
              <w:autoSpaceDE w:val="0"/>
              <w:autoSpaceDN w:val="0"/>
              <w:adjustRightInd w:val="0"/>
            </w:pPr>
            <w:r>
              <w:t>VOM</w:t>
            </w:r>
          </w:p>
        </w:tc>
        <w:tc>
          <w:tcPr>
            <w:tcW w:w="7638" w:type="dxa"/>
            <w:tcBorders>
              <w:top w:val="nil"/>
              <w:left w:val="nil"/>
              <w:bottom w:val="nil"/>
              <w:right w:val="nil"/>
            </w:tcBorders>
          </w:tcPr>
          <w:p w:rsidR="00A746AF" w:rsidRDefault="00A746AF" w:rsidP="00A746AF">
            <w:pPr>
              <w:widowControl w:val="0"/>
              <w:autoSpaceDE w:val="0"/>
              <w:autoSpaceDN w:val="0"/>
              <w:adjustRightInd w:val="0"/>
            </w:pPr>
            <w:r>
              <w:t>Volatile Organic Material</w:t>
            </w:r>
          </w:p>
        </w:tc>
      </w:tr>
    </w:tbl>
    <w:p w:rsidR="00764D52" w:rsidRDefault="00764D52">
      <w:pPr>
        <w:pStyle w:val="JCARSourceNote"/>
        <w:ind w:left="720"/>
      </w:pPr>
    </w:p>
    <w:p w:rsidR="00764D52" w:rsidRPr="00D55B37" w:rsidRDefault="00764D52">
      <w:pPr>
        <w:pStyle w:val="JCARSourceNote"/>
        <w:ind w:left="720"/>
      </w:pPr>
      <w:r w:rsidRPr="00D55B37">
        <w:t xml:space="preserve">(Source:  </w:t>
      </w:r>
      <w:r>
        <w:t>Amended</w:t>
      </w:r>
      <w:r w:rsidRPr="00D55B37">
        <w:t xml:space="preserve"> at 2</w:t>
      </w:r>
      <w:r>
        <w:t>9</w:t>
      </w:r>
      <w:r w:rsidRPr="00D55B37">
        <w:t xml:space="preserve"> Ill. Reg. </w:t>
      </w:r>
      <w:r w:rsidR="00E92985">
        <w:t>8848</w:t>
      </w:r>
      <w:r w:rsidRPr="00D55B37">
        <w:t xml:space="preserve">, effective </w:t>
      </w:r>
      <w:r w:rsidR="00E92985">
        <w:t>June 13, 2005</w:t>
      </w:r>
      <w:r w:rsidRPr="00D55B37">
        <w:t>)</w:t>
      </w:r>
    </w:p>
    <w:sectPr w:rsidR="00764D52" w:rsidRPr="00D55B37" w:rsidSect="00A746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46AF"/>
    <w:rsid w:val="0030341D"/>
    <w:rsid w:val="00316182"/>
    <w:rsid w:val="005C3366"/>
    <w:rsid w:val="00764D52"/>
    <w:rsid w:val="007B03AE"/>
    <w:rsid w:val="00A746AF"/>
    <w:rsid w:val="00B03915"/>
    <w:rsid w:val="00C36009"/>
    <w:rsid w:val="00C4437B"/>
    <w:rsid w:val="00E9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