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65E" w:rsidRDefault="004D565E" w:rsidP="004D56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565E" w:rsidRDefault="004D565E" w:rsidP="004D56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211.495  Anti-Glare/Safety Coating</w:t>
      </w:r>
      <w:r>
        <w:t xml:space="preserve"> </w:t>
      </w:r>
    </w:p>
    <w:p w:rsidR="004D565E" w:rsidRDefault="004D565E" w:rsidP="004D565E">
      <w:pPr>
        <w:widowControl w:val="0"/>
        <w:autoSpaceDE w:val="0"/>
        <w:autoSpaceDN w:val="0"/>
        <w:adjustRightInd w:val="0"/>
      </w:pPr>
    </w:p>
    <w:p w:rsidR="004D565E" w:rsidRDefault="004D565E" w:rsidP="004D565E">
      <w:pPr>
        <w:widowControl w:val="0"/>
        <w:autoSpaceDE w:val="0"/>
        <w:autoSpaceDN w:val="0"/>
        <w:adjustRightInd w:val="0"/>
      </w:pPr>
      <w:r>
        <w:t xml:space="preserve">"Anti-glare/safety coating" means a low gloss coating formulated to minimize glare for safety purposes on interior surfaces of a vehicle, as specified under the U.S. Department of Transportation Motor Vehicle Safety Standards. </w:t>
      </w:r>
    </w:p>
    <w:p w:rsidR="004D565E" w:rsidRDefault="004D565E" w:rsidP="004D565E">
      <w:pPr>
        <w:widowControl w:val="0"/>
        <w:autoSpaceDE w:val="0"/>
        <w:autoSpaceDN w:val="0"/>
        <w:adjustRightInd w:val="0"/>
      </w:pPr>
    </w:p>
    <w:p w:rsidR="004D565E" w:rsidRDefault="004D565E" w:rsidP="004D565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6823, effective May 9, 1995) </w:t>
      </w:r>
    </w:p>
    <w:sectPr w:rsidR="004D565E" w:rsidSect="004D56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565E"/>
    <w:rsid w:val="002E5E0B"/>
    <w:rsid w:val="004623DB"/>
    <w:rsid w:val="004D565E"/>
    <w:rsid w:val="005C3366"/>
    <w:rsid w:val="00DC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