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82" w:rsidRDefault="009E2B82" w:rsidP="009E2B82">
      <w:pPr>
        <w:widowControl w:val="0"/>
        <w:autoSpaceDE w:val="0"/>
        <w:autoSpaceDN w:val="0"/>
        <w:adjustRightInd w:val="0"/>
      </w:pPr>
      <w:bookmarkStart w:id="0" w:name="_GoBack"/>
      <w:bookmarkEnd w:id="0"/>
    </w:p>
    <w:p w:rsidR="009E2B82" w:rsidRDefault="009E2B82" w:rsidP="009E2B82">
      <w:pPr>
        <w:widowControl w:val="0"/>
        <w:autoSpaceDE w:val="0"/>
        <w:autoSpaceDN w:val="0"/>
        <w:adjustRightInd w:val="0"/>
      </w:pPr>
      <w:r>
        <w:rPr>
          <w:b/>
          <w:bCs/>
        </w:rPr>
        <w:t>Section 212.302  Geographical Areas of Application</w:t>
      </w:r>
      <w:r>
        <w:t xml:space="preserve"> </w:t>
      </w:r>
    </w:p>
    <w:p w:rsidR="009E2B82" w:rsidRDefault="009E2B82" w:rsidP="009E2B82">
      <w:pPr>
        <w:widowControl w:val="0"/>
        <w:autoSpaceDE w:val="0"/>
        <w:autoSpaceDN w:val="0"/>
        <w:adjustRightInd w:val="0"/>
      </w:pPr>
    </w:p>
    <w:p w:rsidR="009E2B82" w:rsidRDefault="009E2B82" w:rsidP="009E2B82">
      <w:pPr>
        <w:widowControl w:val="0"/>
        <w:autoSpaceDE w:val="0"/>
        <w:autoSpaceDN w:val="0"/>
        <w:adjustRightInd w:val="0"/>
        <w:ind w:left="1440" w:hanging="720"/>
      </w:pPr>
      <w:r>
        <w:t>a)</w:t>
      </w:r>
      <w:r>
        <w:tab/>
        <w:t xml:space="preserve">Sections 212.304 through 212.310 and 212.312 of this Subpart shall apply to all mining operations (SIC major groups 10 through 14), manufacturing operations (SIC major groups 20 through 39 except for those operations subject to Subpart S of this Part (Grain-Handling and Grain-Drying Operations) that are outside the areas defined in Section 212.324(a)(1) of this Part), and electric generating operations (SIC group 491), which are located in the areas defined by the boundaries of the following townships, notwithstanding any political subdivisions contained therein, as the township boundaries were defined on October 1, 1979, in the following counties: </w:t>
      </w:r>
    </w:p>
    <w:p w:rsidR="009E2B82" w:rsidRDefault="009E2B82" w:rsidP="009E2B82">
      <w:pPr>
        <w:widowControl w:val="0"/>
        <w:autoSpaceDE w:val="0"/>
        <w:autoSpaceDN w:val="0"/>
        <w:adjustRightInd w:val="0"/>
        <w:ind w:left="1440" w:hanging="720"/>
      </w:pPr>
    </w:p>
    <w:tbl>
      <w:tblPr>
        <w:tblW w:w="0" w:type="auto"/>
        <w:tblInd w:w="1905"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1368"/>
        <w:gridCol w:w="6441"/>
      </w:tblGrid>
      <w:tr w:rsidR="009E2B82">
        <w:tblPrEx>
          <w:tblCellMar>
            <w:top w:w="0" w:type="dxa"/>
            <w:bottom w:w="0" w:type="dxa"/>
          </w:tblCellMar>
        </w:tblPrEx>
        <w:tc>
          <w:tcPr>
            <w:tcW w:w="1368" w:type="dxa"/>
            <w:tcBorders>
              <w:top w:val="nil"/>
              <w:left w:val="nil"/>
              <w:bottom w:val="nil"/>
              <w:right w:val="nil"/>
            </w:tcBorders>
          </w:tcPr>
          <w:p w:rsidR="009E2B82" w:rsidRDefault="009E2B82" w:rsidP="005F380F">
            <w:pPr>
              <w:widowControl w:val="0"/>
              <w:autoSpaceDE w:val="0"/>
              <w:autoSpaceDN w:val="0"/>
              <w:adjustRightInd w:val="0"/>
              <w:ind w:left="-480" w:right="-450"/>
            </w:pPr>
            <w:r>
              <w:t>Cook:</w:t>
            </w:r>
          </w:p>
        </w:tc>
        <w:tc>
          <w:tcPr>
            <w:tcW w:w="6441" w:type="dxa"/>
            <w:tcBorders>
              <w:top w:val="nil"/>
              <w:left w:val="nil"/>
              <w:bottom w:val="nil"/>
              <w:right w:val="nil"/>
            </w:tcBorders>
          </w:tcPr>
          <w:p w:rsidR="009E2B82" w:rsidRDefault="009E2B82" w:rsidP="005F380F">
            <w:pPr>
              <w:widowControl w:val="0"/>
              <w:autoSpaceDE w:val="0"/>
              <w:autoSpaceDN w:val="0"/>
              <w:adjustRightInd w:val="0"/>
              <w:ind w:left="-375"/>
            </w:pPr>
            <w:r>
              <w:t>All townships</w:t>
            </w:r>
          </w:p>
        </w:tc>
      </w:tr>
      <w:tr w:rsidR="009E2B82">
        <w:tblPrEx>
          <w:tblCellMar>
            <w:top w:w="0" w:type="dxa"/>
            <w:bottom w:w="0" w:type="dxa"/>
          </w:tblCellMar>
        </w:tblPrEx>
        <w:tc>
          <w:tcPr>
            <w:tcW w:w="1368" w:type="dxa"/>
            <w:tcBorders>
              <w:top w:val="nil"/>
              <w:left w:val="nil"/>
              <w:bottom w:val="nil"/>
              <w:right w:val="nil"/>
            </w:tcBorders>
          </w:tcPr>
          <w:p w:rsidR="009E2B82" w:rsidRDefault="009E2B82" w:rsidP="005F380F">
            <w:pPr>
              <w:widowControl w:val="0"/>
              <w:autoSpaceDE w:val="0"/>
              <w:autoSpaceDN w:val="0"/>
              <w:adjustRightInd w:val="0"/>
              <w:ind w:left="-480" w:right="-450"/>
            </w:pPr>
            <w:r>
              <w:t>Lake:</w:t>
            </w:r>
          </w:p>
        </w:tc>
        <w:tc>
          <w:tcPr>
            <w:tcW w:w="6441" w:type="dxa"/>
            <w:tcBorders>
              <w:top w:val="nil"/>
              <w:left w:val="nil"/>
              <w:bottom w:val="nil"/>
              <w:right w:val="nil"/>
            </w:tcBorders>
          </w:tcPr>
          <w:p w:rsidR="009E2B82" w:rsidRDefault="009E2B82" w:rsidP="005F380F">
            <w:pPr>
              <w:widowControl w:val="0"/>
              <w:autoSpaceDE w:val="0"/>
              <w:autoSpaceDN w:val="0"/>
              <w:adjustRightInd w:val="0"/>
              <w:ind w:left="-375"/>
            </w:pPr>
            <w:r>
              <w:t>Shields, Waukegan, Warren</w:t>
            </w:r>
          </w:p>
        </w:tc>
      </w:tr>
      <w:tr w:rsidR="009E2B82">
        <w:tblPrEx>
          <w:tblCellMar>
            <w:top w:w="0" w:type="dxa"/>
            <w:bottom w:w="0" w:type="dxa"/>
          </w:tblCellMar>
        </w:tblPrEx>
        <w:tc>
          <w:tcPr>
            <w:tcW w:w="1368" w:type="dxa"/>
            <w:tcBorders>
              <w:top w:val="nil"/>
              <w:left w:val="nil"/>
              <w:bottom w:val="nil"/>
              <w:right w:val="nil"/>
            </w:tcBorders>
          </w:tcPr>
          <w:p w:rsidR="009E2B82" w:rsidRDefault="009E2B82" w:rsidP="005F380F">
            <w:pPr>
              <w:widowControl w:val="0"/>
              <w:autoSpaceDE w:val="0"/>
              <w:autoSpaceDN w:val="0"/>
              <w:adjustRightInd w:val="0"/>
              <w:ind w:left="-480" w:right="-450"/>
            </w:pPr>
            <w:proofErr w:type="spellStart"/>
            <w:r>
              <w:t>DuPage</w:t>
            </w:r>
            <w:proofErr w:type="spellEnd"/>
            <w:r>
              <w:t>:</w:t>
            </w:r>
          </w:p>
        </w:tc>
        <w:tc>
          <w:tcPr>
            <w:tcW w:w="6441" w:type="dxa"/>
            <w:tcBorders>
              <w:top w:val="nil"/>
              <w:left w:val="nil"/>
              <w:bottom w:val="nil"/>
              <w:right w:val="nil"/>
            </w:tcBorders>
          </w:tcPr>
          <w:p w:rsidR="009E2B82" w:rsidRDefault="009E2B82" w:rsidP="005F380F">
            <w:pPr>
              <w:widowControl w:val="0"/>
              <w:autoSpaceDE w:val="0"/>
              <w:autoSpaceDN w:val="0"/>
              <w:adjustRightInd w:val="0"/>
              <w:ind w:left="-375"/>
            </w:pPr>
            <w:r>
              <w:t>Addison, Winfield, York</w:t>
            </w:r>
          </w:p>
        </w:tc>
      </w:tr>
      <w:tr w:rsidR="009E2B82">
        <w:tblPrEx>
          <w:tblCellMar>
            <w:top w:w="0" w:type="dxa"/>
            <w:bottom w:w="0" w:type="dxa"/>
          </w:tblCellMar>
        </w:tblPrEx>
        <w:tc>
          <w:tcPr>
            <w:tcW w:w="1368" w:type="dxa"/>
            <w:tcBorders>
              <w:top w:val="nil"/>
              <w:left w:val="nil"/>
              <w:bottom w:val="nil"/>
              <w:right w:val="nil"/>
            </w:tcBorders>
          </w:tcPr>
          <w:p w:rsidR="009E2B82" w:rsidRDefault="009E2B82" w:rsidP="005F380F">
            <w:pPr>
              <w:widowControl w:val="0"/>
              <w:autoSpaceDE w:val="0"/>
              <w:autoSpaceDN w:val="0"/>
              <w:adjustRightInd w:val="0"/>
              <w:ind w:left="-480" w:right="-450"/>
            </w:pPr>
            <w:r>
              <w:t>Will:</w:t>
            </w:r>
          </w:p>
        </w:tc>
        <w:tc>
          <w:tcPr>
            <w:tcW w:w="6441" w:type="dxa"/>
            <w:tcBorders>
              <w:top w:val="nil"/>
              <w:left w:val="nil"/>
              <w:bottom w:val="nil"/>
              <w:right w:val="nil"/>
            </w:tcBorders>
          </w:tcPr>
          <w:p w:rsidR="009E2B82" w:rsidRDefault="009E2B82" w:rsidP="005F380F">
            <w:pPr>
              <w:widowControl w:val="0"/>
              <w:autoSpaceDE w:val="0"/>
              <w:autoSpaceDN w:val="0"/>
              <w:adjustRightInd w:val="0"/>
              <w:ind w:left="-375"/>
            </w:pPr>
            <w:proofErr w:type="spellStart"/>
            <w:r>
              <w:t>DuPage</w:t>
            </w:r>
            <w:proofErr w:type="spellEnd"/>
            <w:r>
              <w:t>, Plainfield, Lockport, Channahon, Peotone, Florence, Joliet</w:t>
            </w:r>
          </w:p>
        </w:tc>
      </w:tr>
      <w:tr w:rsidR="009E2B82">
        <w:tblPrEx>
          <w:tblCellMar>
            <w:top w:w="0" w:type="dxa"/>
            <w:bottom w:w="0" w:type="dxa"/>
          </w:tblCellMar>
        </w:tblPrEx>
        <w:tc>
          <w:tcPr>
            <w:tcW w:w="1368" w:type="dxa"/>
            <w:tcBorders>
              <w:top w:val="nil"/>
              <w:left w:val="nil"/>
              <w:bottom w:val="nil"/>
              <w:right w:val="nil"/>
            </w:tcBorders>
          </w:tcPr>
          <w:p w:rsidR="009E2B82" w:rsidRDefault="009E2B82" w:rsidP="005F380F">
            <w:pPr>
              <w:widowControl w:val="0"/>
              <w:autoSpaceDE w:val="0"/>
              <w:autoSpaceDN w:val="0"/>
              <w:adjustRightInd w:val="0"/>
              <w:ind w:left="-480" w:right="-450"/>
            </w:pPr>
            <w:r>
              <w:t>Peoria:</w:t>
            </w:r>
          </w:p>
        </w:tc>
        <w:tc>
          <w:tcPr>
            <w:tcW w:w="6441" w:type="dxa"/>
            <w:tcBorders>
              <w:top w:val="nil"/>
              <w:left w:val="nil"/>
              <w:bottom w:val="nil"/>
              <w:right w:val="nil"/>
            </w:tcBorders>
          </w:tcPr>
          <w:p w:rsidR="009E2B82" w:rsidRDefault="009E2B82" w:rsidP="005F380F">
            <w:pPr>
              <w:widowControl w:val="0"/>
              <w:autoSpaceDE w:val="0"/>
              <w:autoSpaceDN w:val="0"/>
              <w:adjustRightInd w:val="0"/>
              <w:ind w:left="-375"/>
            </w:pPr>
            <w:proofErr w:type="spellStart"/>
            <w:r>
              <w:t>Richwoods</w:t>
            </w:r>
            <w:proofErr w:type="spellEnd"/>
            <w:r>
              <w:t>, Limestone, Hollis, Peoria, City of Peoria</w:t>
            </w:r>
          </w:p>
        </w:tc>
      </w:tr>
      <w:tr w:rsidR="009E2B82">
        <w:tblPrEx>
          <w:tblCellMar>
            <w:top w:w="0" w:type="dxa"/>
            <w:bottom w:w="0" w:type="dxa"/>
          </w:tblCellMar>
        </w:tblPrEx>
        <w:tc>
          <w:tcPr>
            <w:tcW w:w="1368" w:type="dxa"/>
            <w:tcBorders>
              <w:top w:val="nil"/>
              <w:left w:val="nil"/>
              <w:bottom w:val="nil"/>
              <w:right w:val="nil"/>
            </w:tcBorders>
          </w:tcPr>
          <w:p w:rsidR="009E2B82" w:rsidRDefault="009E2B82" w:rsidP="005F380F">
            <w:pPr>
              <w:widowControl w:val="0"/>
              <w:autoSpaceDE w:val="0"/>
              <w:autoSpaceDN w:val="0"/>
              <w:adjustRightInd w:val="0"/>
              <w:ind w:left="-480" w:right="-450"/>
            </w:pPr>
            <w:r>
              <w:t>Tazewell</w:t>
            </w:r>
            <w:r w:rsidR="005F380F">
              <w:t>:</w:t>
            </w:r>
          </w:p>
        </w:tc>
        <w:tc>
          <w:tcPr>
            <w:tcW w:w="6441" w:type="dxa"/>
            <w:tcBorders>
              <w:top w:val="nil"/>
              <w:left w:val="nil"/>
              <w:bottom w:val="nil"/>
              <w:right w:val="nil"/>
            </w:tcBorders>
          </w:tcPr>
          <w:p w:rsidR="009E2B82" w:rsidRDefault="009E2B82" w:rsidP="005F380F">
            <w:pPr>
              <w:widowControl w:val="0"/>
              <w:autoSpaceDE w:val="0"/>
              <w:autoSpaceDN w:val="0"/>
              <w:adjustRightInd w:val="0"/>
              <w:ind w:left="-375"/>
            </w:pPr>
            <w:proofErr w:type="spellStart"/>
            <w:r>
              <w:t>Fondulac</w:t>
            </w:r>
            <w:proofErr w:type="spellEnd"/>
            <w:r>
              <w:t xml:space="preserve">, </w:t>
            </w:r>
            <w:proofErr w:type="spellStart"/>
            <w:r>
              <w:t>Pekin</w:t>
            </w:r>
            <w:proofErr w:type="spellEnd"/>
            <w:r>
              <w:t>, Cincinnati, Groveland, Washington</w:t>
            </w:r>
          </w:p>
        </w:tc>
      </w:tr>
      <w:tr w:rsidR="009E2B82">
        <w:tblPrEx>
          <w:tblCellMar>
            <w:top w:w="0" w:type="dxa"/>
            <w:bottom w:w="0" w:type="dxa"/>
          </w:tblCellMar>
        </w:tblPrEx>
        <w:tc>
          <w:tcPr>
            <w:tcW w:w="1368" w:type="dxa"/>
            <w:tcBorders>
              <w:top w:val="nil"/>
              <w:left w:val="nil"/>
              <w:bottom w:val="nil"/>
              <w:right w:val="nil"/>
            </w:tcBorders>
          </w:tcPr>
          <w:p w:rsidR="009E2B82" w:rsidRDefault="009E2B82" w:rsidP="005F380F">
            <w:pPr>
              <w:widowControl w:val="0"/>
              <w:autoSpaceDE w:val="0"/>
              <w:autoSpaceDN w:val="0"/>
              <w:adjustRightInd w:val="0"/>
              <w:ind w:left="-480" w:right="-450"/>
            </w:pPr>
            <w:r>
              <w:t>Macon:</w:t>
            </w:r>
          </w:p>
        </w:tc>
        <w:tc>
          <w:tcPr>
            <w:tcW w:w="6441" w:type="dxa"/>
            <w:tcBorders>
              <w:top w:val="nil"/>
              <w:left w:val="nil"/>
              <w:bottom w:val="nil"/>
              <w:right w:val="nil"/>
            </w:tcBorders>
          </w:tcPr>
          <w:p w:rsidR="009E2B82" w:rsidRDefault="009E2B82" w:rsidP="005F380F">
            <w:pPr>
              <w:widowControl w:val="0"/>
              <w:autoSpaceDE w:val="0"/>
              <w:autoSpaceDN w:val="0"/>
              <w:adjustRightInd w:val="0"/>
              <w:ind w:left="-375"/>
            </w:pPr>
            <w:r>
              <w:t>Decatur, Hickory Point</w:t>
            </w:r>
          </w:p>
        </w:tc>
      </w:tr>
      <w:tr w:rsidR="005F380F">
        <w:tblPrEx>
          <w:tblCellMar>
            <w:top w:w="0" w:type="dxa"/>
            <w:bottom w:w="0" w:type="dxa"/>
          </w:tblCellMar>
        </w:tblPrEx>
        <w:tc>
          <w:tcPr>
            <w:tcW w:w="1368" w:type="dxa"/>
            <w:tcBorders>
              <w:top w:val="nil"/>
              <w:left w:val="nil"/>
              <w:bottom w:val="nil"/>
              <w:right w:val="nil"/>
            </w:tcBorders>
          </w:tcPr>
          <w:p w:rsidR="005F380F" w:rsidRDefault="005F380F" w:rsidP="005F380F">
            <w:pPr>
              <w:widowControl w:val="0"/>
              <w:autoSpaceDE w:val="0"/>
              <w:autoSpaceDN w:val="0"/>
              <w:adjustRightInd w:val="0"/>
              <w:ind w:left="-480" w:right="-450"/>
            </w:pPr>
            <w:r>
              <w:t>Rock Island:</w:t>
            </w:r>
          </w:p>
        </w:tc>
        <w:tc>
          <w:tcPr>
            <w:tcW w:w="6441" w:type="dxa"/>
            <w:tcBorders>
              <w:top w:val="nil"/>
              <w:left w:val="nil"/>
              <w:bottom w:val="nil"/>
              <w:right w:val="nil"/>
            </w:tcBorders>
          </w:tcPr>
          <w:p w:rsidR="005F380F" w:rsidRDefault="005F380F" w:rsidP="005F380F">
            <w:pPr>
              <w:widowControl w:val="0"/>
              <w:autoSpaceDE w:val="0"/>
              <w:autoSpaceDN w:val="0"/>
              <w:adjustRightInd w:val="0"/>
              <w:ind w:left="-366"/>
            </w:pPr>
            <w:r>
              <w:t>Blackhawk, Coal Valley, Hampton, Moline, South Moline, Rock Island, South Rock Island</w:t>
            </w:r>
          </w:p>
        </w:tc>
      </w:tr>
      <w:tr w:rsidR="005F380F">
        <w:tblPrEx>
          <w:tblCellMar>
            <w:top w:w="0" w:type="dxa"/>
            <w:bottom w:w="0" w:type="dxa"/>
          </w:tblCellMar>
        </w:tblPrEx>
        <w:tc>
          <w:tcPr>
            <w:tcW w:w="1368" w:type="dxa"/>
            <w:tcBorders>
              <w:top w:val="nil"/>
              <w:left w:val="nil"/>
              <w:bottom w:val="nil"/>
              <w:right w:val="nil"/>
            </w:tcBorders>
          </w:tcPr>
          <w:p w:rsidR="005F380F" w:rsidRDefault="005F380F" w:rsidP="005F380F">
            <w:pPr>
              <w:widowControl w:val="0"/>
              <w:autoSpaceDE w:val="0"/>
              <w:autoSpaceDN w:val="0"/>
              <w:adjustRightInd w:val="0"/>
              <w:ind w:left="-480" w:right="-450"/>
            </w:pPr>
            <w:r>
              <w:t>LaSalle:</w:t>
            </w:r>
          </w:p>
        </w:tc>
        <w:tc>
          <w:tcPr>
            <w:tcW w:w="6441" w:type="dxa"/>
            <w:tcBorders>
              <w:top w:val="nil"/>
              <w:left w:val="nil"/>
              <w:bottom w:val="nil"/>
              <w:right w:val="nil"/>
            </w:tcBorders>
          </w:tcPr>
          <w:p w:rsidR="005F380F" w:rsidRDefault="005F380F" w:rsidP="005F380F">
            <w:pPr>
              <w:widowControl w:val="0"/>
              <w:autoSpaceDE w:val="0"/>
              <w:autoSpaceDN w:val="0"/>
              <w:adjustRightInd w:val="0"/>
              <w:ind w:left="-375"/>
            </w:pPr>
            <w:r>
              <w:t>LaSalle, Utica</w:t>
            </w:r>
          </w:p>
        </w:tc>
      </w:tr>
      <w:tr w:rsidR="005F380F">
        <w:tblPrEx>
          <w:tblCellMar>
            <w:top w:w="0" w:type="dxa"/>
            <w:bottom w:w="0" w:type="dxa"/>
          </w:tblCellMar>
        </w:tblPrEx>
        <w:tc>
          <w:tcPr>
            <w:tcW w:w="1368" w:type="dxa"/>
            <w:tcBorders>
              <w:top w:val="nil"/>
              <w:left w:val="nil"/>
              <w:bottom w:val="nil"/>
              <w:right w:val="nil"/>
            </w:tcBorders>
          </w:tcPr>
          <w:p w:rsidR="005F380F" w:rsidRDefault="005F380F" w:rsidP="005F380F">
            <w:pPr>
              <w:widowControl w:val="0"/>
              <w:autoSpaceDE w:val="0"/>
              <w:autoSpaceDN w:val="0"/>
              <w:adjustRightInd w:val="0"/>
              <w:ind w:left="-480" w:right="-450"/>
            </w:pPr>
            <w:r>
              <w:t>Madison:</w:t>
            </w:r>
          </w:p>
        </w:tc>
        <w:tc>
          <w:tcPr>
            <w:tcW w:w="6441" w:type="dxa"/>
            <w:tcBorders>
              <w:top w:val="nil"/>
              <w:left w:val="nil"/>
              <w:bottom w:val="nil"/>
              <w:right w:val="nil"/>
            </w:tcBorders>
          </w:tcPr>
          <w:p w:rsidR="005F380F" w:rsidRDefault="005F380F" w:rsidP="005F380F">
            <w:pPr>
              <w:widowControl w:val="0"/>
              <w:autoSpaceDE w:val="0"/>
              <w:autoSpaceDN w:val="0"/>
              <w:adjustRightInd w:val="0"/>
              <w:ind w:left="-393" w:right="-450"/>
            </w:pPr>
            <w:r>
              <w:t xml:space="preserve">Alton, Chouteau, Collinsville, Edwardsville, Fort Russell, Godfrey, Granite City, </w:t>
            </w:r>
            <w:proofErr w:type="spellStart"/>
            <w:r>
              <w:t>Nameoki</w:t>
            </w:r>
            <w:proofErr w:type="spellEnd"/>
            <w:r>
              <w:t>, Venice, Wood River</w:t>
            </w:r>
          </w:p>
        </w:tc>
      </w:tr>
      <w:tr w:rsidR="005F380F">
        <w:tblPrEx>
          <w:tblCellMar>
            <w:top w:w="0" w:type="dxa"/>
            <w:bottom w:w="0" w:type="dxa"/>
          </w:tblCellMar>
        </w:tblPrEx>
        <w:tc>
          <w:tcPr>
            <w:tcW w:w="1368" w:type="dxa"/>
            <w:tcBorders>
              <w:top w:val="nil"/>
              <w:left w:val="nil"/>
              <w:bottom w:val="nil"/>
              <w:right w:val="nil"/>
            </w:tcBorders>
          </w:tcPr>
          <w:p w:rsidR="005F380F" w:rsidRDefault="005F380F" w:rsidP="005F380F">
            <w:pPr>
              <w:widowControl w:val="0"/>
              <w:autoSpaceDE w:val="0"/>
              <w:autoSpaceDN w:val="0"/>
              <w:adjustRightInd w:val="0"/>
              <w:ind w:left="-480" w:right="-450"/>
            </w:pPr>
            <w:r>
              <w:t>St. Clair:</w:t>
            </w:r>
          </w:p>
        </w:tc>
        <w:tc>
          <w:tcPr>
            <w:tcW w:w="6441" w:type="dxa"/>
            <w:tcBorders>
              <w:top w:val="nil"/>
              <w:left w:val="nil"/>
              <w:bottom w:val="nil"/>
              <w:right w:val="nil"/>
            </w:tcBorders>
          </w:tcPr>
          <w:p w:rsidR="005F380F" w:rsidRDefault="005F380F" w:rsidP="005F380F">
            <w:pPr>
              <w:widowControl w:val="0"/>
              <w:autoSpaceDE w:val="0"/>
              <w:autoSpaceDN w:val="0"/>
              <w:adjustRightInd w:val="0"/>
              <w:ind w:left="-375"/>
            </w:pPr>
            <w:r>
              <w:t xml:space="preserve">Canteen, Caseyville, Centerville, St. Clair, </w:t>
            </w:r>
            <w:proofErr w:type="spellStart"/>
            <w:r>
              <w:t>Stites</w:t>
            </w:r>
            <w:proofErr w:type="spellEnd"/>
            <w:r>
              <w:t xml:space="preserve">, </w:t>
            </w:r>
            <w:proofErr w:type="spellStart"/>
            <w:r>
              <w:t>Stookey</w:t>
            </w:r>
            <w:proofErr w:type="spellEnd"/>
            <w:r>
              <w:t>, Sugar Loaf, Millstadt</w:t>
            </w:r>
          </w:p>
        </w:tc>
      </w:tr>
    </w:tbl>
    <w:p w:rsidR="005F380F" w:rsidRDefault="005F380F" w:rsidP="009E2B82">
      <w:pPr>
        <w:widowControl w:val="0"/>
        <w:autoSpaceDE w:val="0"/>
        <w:autoSpaceDN w:val="0"/>
        <w:adjustRightInd w:val="0"/>
        <w:ind w:left="1440" w:hanging="720"/>
      </w:pPr>
    </w:p>
    <w:p w:rsidR="009E2B82" w:rsidRDefault="009E2B82" w:rsidP="009E2B82">
      <w:pPr>
        <w:widowControl w:val="0"/>
        <w:autoSpaceDE w:val="0"/>
        <w:autoSpaceDN w:val="0"/>
        <w:adjustRightInd w:val="0"/>
        <w:ind w:left="1440" w:hanging="720"/>
      </w:pPr>
      <w:r>
        <w:t>b)</w:t>
      </w:r>
      <w:r>
        <w:tab/>
        <w:t xml:space="preserve">In the geographical areas defined in Section 212.324(a)(1) of this Part, Sections 212.304 through 212.310, 212.312, and 212.316 of this Subpart shall apply to all emission units identified in subsection (a) of this Section, and shall further apply to the following operations:  grain-handling and grain-drying (Subpart S of this Part), transportation, communications, electric, gas, and sanitary services (SIC major groups 40 through 49).  Additionally, Sections 212.304 through 212.310, 212.312, and 212.316 of this Subpart shall apply to wholesale trade-farm supplies (SIC Industry No. 5191) located in the vicinity of Granite City, as defined in Section 212.324(a)(1)(C) of this Part. </w:t>
      </w:r>
    </w:p>
    <w:p w:rsidR="00DB4E0F" w:rsidRDefault="00DB4E0F" w:rsidP="009E2B82">
      <w:pPr>
        <w:widowControl w:val="0"/>
        <w:autoSpaceDE w:val="0"/>
        <w:autoSpaceDN w:val="0"/>
        <w:adjustRightInd w:val="0"/>
        <w:ind w:left="1440" w:hanging="720"/>
      </w:pPr>
    </w:p>
    <w:p w:rsidR="009E2B82" w:rsidRDefault="009E2B82" w:rsidP="009E2B82">
      <w:pPr>
        <w:widowControl w:val="0"/>
        <w:autoSpaceDE w:val="0"/>
        <w:autoSpaceDN w:val="0"/>
        <w:adjustRightInd w:val="0"/>
        <w:ind w:left="1440" w:hanging="720"/>
      </w:pPr>
      <w:r>
        <w:t>c)</w:t>
      </w:r>
      <w:r>
        <w:tab/>
        <w:t xml:space="preserve">Emission units must comply with subsection (b) of this Section by May 11, 1993, or upon initial start-up, whichever occurs later. </w:t>
      </w:r>
    </w:p>
    <w:p w:rsidR="009E2B82" w:rsidRDefault="009E2B82" w:rsidP="009E2B82">
      <w:pPr>
        <w:widowControl w:val="0"/>
        <w:autoSpaceDE w:val="0"/>
        <w:autoSpaceDN w:val="0"/>
        <w:adjustRightInd w:val="0"/>
        <w:ind w:left="1440" w:hanging="720"/>
      </w:pPr>
    </w:p>
    <w:p w:rsidR="009E2B82" w:rsidRDefault="009E2B82" w:rsidP="009E2B82">
      <w:pPr>
        <w:widowControl w:val="0"/>
        <w:autoSpaceDE w:val="0"/>
        <w:autoSpaceDN w:val="0"/>
        <w:adjustRightInd w:val="0"/>
        <w:ind w:left="1440" w:hanging="720"/>
      </w:pPr>
      <w:r>
        <w:t xml:space="preserve">(Source:  Amended at 20 Ill. Reg. 7605, effective May 22, 1996) </w:t>
      </w:r>
    </w:p>
    <w:sectPr w:rsidR="009E2B82" w:rsidSect="009E2B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2B82"/>
    <w:rsid w:val="001211D5"/>
    <w:rsid w:val="00420476"/>
    <w:rsid w:val="005C3366"/>
    <w:rsid w:val="005F380F"/>
    <w:rsid w:val="009E2B82"/>
    <w:rsid w:val="00B13EEF"/>
    <w:rsid w:val="00DB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