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E4" w:rsidRDefault="009D5EE4" w:rsidP="009D5E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5EE4" w:rsidRDefault="009D5EE4" w:rsidP="009D5E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212.307  Materials Collected by Pollution Control Equipment</w:t>
      </w:r>
      <w:r>
        <w:t xml:space="preserve"> </w:t>
      </w:r>
    </w:p>
    <w:p w:rsidR="009D5EE4" w:rsidRDefault="009D5EE4" w:rsidP="009D5EE4">
      <w:pPr>
        <w:widowControl w:val="0"/>
        <w:autoSpaceDE w:val="0"/>
        <w:autoSpaceDN w:val="0"/>
        <w:adjustRightInd w:val="0"/>
      </w:pPr>
    </w:p>
    <w:p w:rsidR="009D5EE4" w:rsidRDefault="009D5EE4" w:rsidP="009D5EE4">
      <w:pPr>
        <w:widowControl w:val="0"/>
        <w:autoSpaceDE w:val="0"/>
        <w:autoSpaceDN w:val="0"/>
        <w:adjustRightInd w:val="0"/>
      </w:pPr>
      <w:r>
        <w:t xml:space="preserve">All unloading and transporting operations of materials collected by pollution control equipment shall be enclosed or shall utilize spraying, pelletizing, screw conveying or other equivalent methods. </w:t>
      </w:r>
    </w:p>
    <w:p w:rsidR="009D5EE4" w:rsidRDefault="009D5EE4" w:rsidP="009D5EE4">
      <w:pPr>
        <w:widowControl w:val="0"/>
        <w:autoSpaceDE w:val="0"/>
        <w:autoSpaceDN w:val="0"/>
        <w:adjustRightInd w:val="0"/>
      </w:pPr>
    </w:p>
    <w:p w:rsidR="009D5EE4" w:rsidRDefault="009D5EE4" w:rsidP="009D5E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45, p. 100, effective October 26, 1979) </w:t>
      </w:r>
    </w:p>
    <w:sectPr w:rsidR="009D5EE4" w:rsidSect="009D5E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5EE4"/>
    <w:rsid w:val="001109DA"/>
    <w:rsid w:val="005C3366"/>
    <w:rsid w:val="007B4612"/>
    <w:rsid w:val="009D5EE4"/>
    <w:rsid w:val="00A9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