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491" w:rsidRDefault="00466491" w:rsidP="00466491">
      <w:pPr>
        <w:widowControl w:val="0"/>
        <w:autoSpaceDE w:val="0"/>
        <w:autoSpaceDN w:val="0"/>
        <w:adjustRightInd w:val="0"/>
      </w:pPr>
      <w:bookmarkStart w:id="0" w:name="_GoBack"/>
      <w:bookmarkEnd w:id="0"/>
    </w:p>
    <w:p w:rsidR="00466491" w:rsidRDefault="00466491" w:rsidP="00466491">
      <w:pPr>
        <w:widowControl w:val="0"/>
        <w:autoSpaceDE w:val="0"/>
        <w:autoSpaceDN w:val="0"/>
        <w:adjustRightInd w:val="0"/>
      </w:pPr>
      <w:r>
        <w:rPr>
          <w:b/>
          <w:bCs/>
        </w:rPr>
        <w:t>Section 212.446  Basic Oxygen Furnaces</w:t>
      </w:r>
      <w:r>
        <w:t xml:space="preserve"> </w:t>
      </w:r>
    </w:p>
    <w:p w:rsidR="00466491" w:rsidRDefault="00466491" w:rsidP="00466491">
      <w:pPr>
        <w:widowControl w:val="0"/>
        <w:autoSpaceDE w:val="0"/>
        <w:autoSpaceDN w:val="0"/>
        <w:adjustRightInd w:val="0"/>
      </w:pPr>
    </w:p>
    <w:p w:rsidR="00466491" w:rsidRDefault="00466491" w:rsidP="00466491">
      <w:pPr>
        <w:widowControl w:val="0"/>
        <w:autoSpaceDE w:val="0"/>
        <w:autoSpaceDN w:val="0"/>
        <w:adjustRightInd w:val="0"/>
      </w:pPr>
      <w:r>
        <w:t xml:space="preserve">Emissions of particulate matter from basic oxygen processes shall be controlled as follows: </w:t>
      </w:r>
    </w:p>
    <w:p w:rsidR="000010C1" w:rsidRDefault="000010C1" w:rsidP="00466491">
      <w:pPr>
        <w:widowControl w:val="0"/>
        <w:autoSpaceDE w:val="0"/>
        <w:autoSpaceDN w:val="0"/>
        <w:adjustRightInd w:val="0"/>
      </w:pPr>
    </w:p>
    <w:p w:rsidR="00466491" w:rsidRDefault="00466491" w:rsidP="00466491">
      <w:pPr>
        <w:widowControl w:val="0"/>
        <w:autoSpaceDE w:val="0"/>
        <w:autoSpaceDN w:val="0"/>
        <w:adjustRightInd w:val="0"/>
        <w:ind w:left="1440" w:hanging="720"/>
      </w:pPr>
      <w:r>
        <w:t>a)</w:t>
      </w:r>
      <w:r>
        <w:tab/>
        <w:t xml:space="preserve">Charging, Refining and Tapping.  Particulate matter emissions from all basic oxygen furnaces (BOF) shall be collected and ducted to pollution control equipment. Unless subsection (c) of this Section applies, emissions from basic oxygen furnace operations during the entire cycle (operations from the beginning of the charging process through the end of the tapping process) shall not exceed the allowable emission rate specified by Section 212.321 or Section 212.322 of this Part, whichever is applicable.  For purposes of computing the process weight rate for this subsection, nongaseous material charged to the furnace and process oxygen shall be included.  No material shall be included more than once. </w:t>
      </w:r>
    </w:p>
    <w:p w:rsidR="000010C1" w:rsidRDefault="000010C1" w:rsidP="00466491">
      <w:pPr>
        <w:widowControl w:val="0"/>
        <w:autoSpaceDE w:val="0"/>
        <w:autoSpaceDN w:val="0"/>
        <w:adjustRightInd w:val="0"/>
        <w:ind w:left="1440" w:hanging="720"/>
      </w:pPr>
    </w:p>
    <w:p w:rsidR="00466491" w:rsidRDefault="00466491" w:rsidP="00466491">
      <w:pPr>
        <w:widowControl w:val="0"/>
        <w:autoSpaceDE w:val="0"/>
        <w:autoSpaceDN w:val="0"/>
        <w:adjustRightInd w:val="0"/>
        <w:ind w:left="1440" w:hanging="720"/>
      </w:pPr>
      <w:r>
        <w:t>b)</w:t>
      </w:r>
      <w:r>
        <w:tab/>
        <w:t xml:space="preserve">Hot Metal Transfer, Hot Metal Desulfurization and Ladle Lancing. </w:t>
      </w:r>
    </w:p>
    <w:p w:rsidR="000010C1" w:rsidRDefault="000010C1" w:rsidP="00466491">
      <w:pPr>
        <w:widowControl w:val="0"/>
        <w:autoSpaceDE w:val="0"/>
        <w:autoSpaceDN w:val="0"/>
        <w:adjustRightInd w:val="0"/>
        <w:ind w:left="2160" w:hanging="720"/>
      </w:pPr>
    </w:p>
    <w:p w:rsidR="00466491" w:rsidRDefault="00466491" w:rsidP="00466491">
      <w:pPr>
        <w:widowControl w:val="0"/>
        <w:autoSpaceDE w:val="0"/>
        <w:autoSpaceDN w:val="0"/>
        <w:adjustRightInd w:val="0"/>
        <w:ind w:left="2160" w:hanging="720"/>
      </w:pPr>
      <w:r>
        <w:t>1)</w:t>
      </w:r>
      <w:r>
        <w:tab/>
        <w:t>Particulate matter emissions from hot metal transfers to a mixer or ladle, hot metal desulfurization operations and ladle lancing shall be collected and ducted to pollution control equipment, and emissions from the pollution control equipment shall not exceed 69 mg/</w:t>
      </w:r>
      <w:proofErr w:type="spellStart"/>
      <w:r>
        <w:t>dscm</w:t>
      </w:r>
      <w:proofErr w:type="spellEnd"/>
      <w:r>
        <w:t xml:space="preserve"> (0.03 gr/</w:t>
      </w:r>
      <w:proofErr w:type="spellStart"/>
      <w:r>
        <w:t>dscf</w:t>
      </w:r>
      <w:proofErr w:type="spellEnd"/>
      <w:r>
        <w:t xml:space="preserve">). </w:t>
      </w:r>
    </w:p>
    <w:p w:rsidR="000010C1" w:rsidRDefault="000010C1" w:rsidP="00466491">
      <w:pPr>
        <w:widowControl w:val="0"/>
        <w:autoSpaceDE w:val="0"/>
        <w:autoSpaceDN w:val="0"/>
        <w:adjustRightInd w:val="0"/>
        <w:ind w:left="2160" w:hanging="720"/>
      </w:pPr>
    </w:p>
    <w:p w:rsidR="00466491" w:rsidRDefault="00466491" w:rsidP="00466491">
      <w:pPr>
        <w:widowControl w:val="0"/>
        <w:autoSpaceDE w:val="0"/>
        <w:autoSpaceDN w:val="0"/>
        <w:adjustRightInd w:val="0"/>
        <w:ind w:left="2160" w:hanging="720"/>
      </w:pPr>
      <w:r>
        <w:t>2)</w:t>
      </w:r>
      <w:r>
        <w:tab/>
        <w:t xml:space="preserve">If the owner or operator can establish that the total particulate matter emissions from hot metal transfers, hot metal desulfurization operations and ladle lancing operations combined do not exceed the allowable emissions as specified by Section 212.321 or Section 212.322, whichever is applicable, where the process weight rate (P) is the hot metal charged to the BOF vessel, then subsection (b)(1) above shall not apply. </w:t>
      </w:r>
    </w:p>
    <w:p w:rsidR="000010C1" w:rsidRDefault="000010C1" w:rsidP="00466491">
      <w:pPr>
        <w:widowControl w:val="0"/>
        <w:autoSpaceDE w:val="0"/>
        <w:autoSpaceDN w:val="0"/>
        <w:adjustRightInd w:val="0"/>
        <w:ind w:left="1440" w:hanging="720"/>
      </w:pPr>
    </w:p>
    <w:p w:rsidR="00466491" w:rsidRDefault="00466491" w:rsidP="00466491">
      <w:pPr>
        <w:widowControl w:val="0"/>
        <w:autoSpaceDE w:val="0"/>
        <w:autoSpaceDN w:val="0"/>
        <w:adjustRightInd w:val="0"/>
        <w:ind w:left="1440" w:hanging="720"/>
      </w:pPr>
      <w:r>
        <w:t>c)</w:t>
      </w:r>
      <w:r>
        <w:tab/>
        <w:t xml:space="preserve">No person shall cause or allow </w:t>
      </w:r>
      <w:proofErr w:type="spellStart"/>
      <w:r>
        <w:t>uncaptured</w:t>
      </w:r>
      <w:proofErr w:type="spellEnd"/>
      <w:r>
        <w:t xml:space="preserve"> emissions from any opening in the building housing the BOF shop to exceed an opacity of 20 percent at integrated iron and steel plants in the vicinity of Granite City, as described in Section 212.324(a)(1)(C) of this Part.  Compliance with this subsection shall be determined in accordance with 40 CFR part 60, Appendix A, Method 9, incorporated by reference in Section 212.113 of this Part, except that compliance shall be determined by averaging any 12 consecutive observations taken at 15 second intervals. </w:t>
      </w:r>
    </w:p>
    <w:p w:rsidR="00466491" w:rsidRDefault="00466491" w:rsidP="00466491">
      <w:pPr>
        <w:widowControl w:val="0"/>
        <w:autoSpaceDE w:val="0"/>
        <w:autoSpaceDN w:val="0"/>
        <w:adjustRightInd w:val="0"/>
        <w:ind w:left="1440" w:hanging="720"/>
      </w:pPr>
    </w:p>
    <w:p w:rsidR="00466491" w:rsidRDefault="00466491" w:rsidP="00466491">
      <w:pPr>
        <w:widowControl w:val="0"/>
        <w:autoSpaceDE w:val="0"/>
        <w:autoSpaceDN w:val="0"/>
        <w:adjustRightInd w:val="0"/>
        <w:ind w:left="1440" w:hanging="720"/>
      </w:pPr>
      <w:r>
        <w:t xml:space="preserve">(Source:  Amended at 20 Ill. Reg. 7605, effective May 22, 1996) </w:t>
      </w:r>
    </w:p>
    <w:sectPr w:rsidR="00466491" w:rsidSect="0046649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6491"/>
    <w:rsid w:val="000010C1"/>
    <w:rsid w:val="000230E8"/>
    <w:rsid w:val="00466491"/>
    <w:rsid w:val="004F53D6"/>
    <w:rsid w:val="005C3366"/>
    <w:rsid w:val="00CA3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212</vt:lpstr>
    </vt:vector>
  </TitlesOfParts>
  <Company>State of Illinois</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212</dc:title>
  <dc:subject/>
  <dc:creator>Illinois General Assembly</dc:creator>
  <cp:keywords/>
  <dc:description/>
  <cp:lastModifiedBy>Roberts, John</cp:lastModifiedBy>
  <cp:revision>3</cp:revision>
  <dcterms:created xsi:type="dcterms:W3CDTF">2012-06-21T19:21:00Z</dcterms:created>
  <dcterms:modified xsi:type="dcterms:W3CDTF">2012-06-21T19:21:00Z</dcterms:modified>
</cp:coreProperties>
</file>