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F3" w:rsidRDefault="002F1EF3" w:rsidP="002F1EF3">
      <w:pPr>
        <w:widowControl w:val="0"/>
        <w:autoSpaceDE w:val="0"/>
        <w:autoSpaceDN w:val="0"/>
        <w:adjustRightInd w:val="0"/>
      </w:pPr>
      <w:bookmarkStart w:id="0" w:name="_GoBack"/>
      <w:bookmarkEnd w:id="0"/>
    </w:p>
    <w:p w:rsidR="002F1EF3" w:rsidRDefault="002F1EF3" w:rsidP="002F1EF3">
      <w:pPr>
        <w:widowControl w:val="0"/>
        <w:autoSpaceDE w:val="0"/>
        <w:autoSpaceDN w:val="0"/>
        <w:adjustRightInd w:val="0"/>
      </w:pPr>
      <w:r>
        <w:rPr>
          <w:b/>
          <w:bCs/>
        </w:rPr>
        <w:t>Section 212.457  Certain Small Iron-Melting Air Furnaces</w:t>
      </w:r>
      <w:r>
        <w:t xml:space="preserve"> </w:t>
      </w:r>
    </w:p>
    <w:p w:rsidR="002F1EF3" w:rsidRDefault="002F1EF3" w:rsidP="002F1EF3">
      <w:pPr>
        <w:widowControl w:val="0"/>
        <w:autoSpaceDE w:val="0"/>
        <w:autoSpaceDN w:val="0"/>
        <w:adjustRightInd w:val="0"/>
      </w:pPr>
    </w:p>
    <w:p w:rsidR="002F1EF3" w:rsidRDefault="002F1EF3" w:rsidP="002F1EF3">
      <w:pPr>
        <w:widowControl w:val="0"/>
        <w:autoSpaceDE w:val="0"/>
        <w:autoSpaceDN w:val="0"/>
        <w:adjustRightInd w:val="0"/>
      </w:pPr>
      <w:r>
        <w:t xml:space="preserve">Section 212.322 of this Part shall not apply to iron-melting air furnaces if all the following conditions are met: </w:t>
      </w:r>
    </w:p>
    <w:p w:rsidR="003D25ED" w:rsidRDefault="003D25ED" w:rsidP="002F1EF3">
      <w:pPr>
        <w:widowControl w:val="0"/>
        <w:autoSpaceDE w:val="0"/>
        <w:autoSpaceDN w:val="0"/>
        <w:adjustRightInd w:val="0"/>
      </w:pPr>
    </w:p>
    <w:p w:rsidR="002F1EF3" w:rsidRDefault="002F1EF3" w:rsidP="002F1EF3">
      <w:pPr>
        <w:widowControl w:val="0"/>
        <w:autoSpaceDE w:val="0"/>
        <w:autoSpaceDN w:val="0"/>
        <w:adjustRightInd w:val="0"/>
        <w:ind w:left="1440" w:hanging="720"/>
      </w:pPr>
      <w:r>
        <w:t>a)</w:t>
      </w:r>
      <w:r>
        <w:tab/>
        <w:t xml:space="preserve">The air furnace was in existence prior to April 15, 1967, and is located in Hoopeston, Vermilion County, Illinois; </w:t>
      </w:r>
    </w:p>
    <w:p w:rsidR="003D25ED" w:rsidRDefault="003D25ED" w:rsidP="002F1EF3">
      <w:pPr>
        <w:widowControl w:val="0"/>
        <w:autoSpaceDE w:val="0"/>
        <w:autoSpaceDN w:val="0"/>
        <w:adjustRightInd w:val="0"/>
        <w:ind w:left="1440" w:hanging="720"/>
      </w:pPr>
    </w:p>
    <w:p w:rsidR="002F1EF3" w:rsidRDefault="002F1EF3" w:rsidP="002F1EF3">
      <w:pPr>
        <w:widowControl w:val="0"/>
        <w:autoSpaceDE w:val="0"/>
        <w:autoSpaceDN w:val="0"/>
        <w:adjustRightInd w:val="0"/>
        <w:ind w:left="1440" w:hanging="720"/>
      </w:pPr>
      <w:r>
        <w:t>b)</w:t>
      </w:r>
      <w:r>
        <w:tab/>
        <w:t xml:space="preserve">The air furnace process weight rate is less than or equal to 5,000 lbs/hr; </w:t>
      </w:r>
    </w:p>
    <w:p w:rsidR="003D25ED" w:rsidRDefault="003D25ED" w:rsidP="002F1EF3">
      <w:pPr>
        <w:widowControl w:val="0"/>
        <w:autoSpaceDE w:val="0"/>
        <w:autoSpaceDN w:val="0"/>
        <w:adjustRightInd w:val="0"/>
        <w:ind w:left="1440" w:hanging="720"/>
      </w:pPr>
    </w:p>
    <w:p w:rsidR="002F1EF3" w:rsidRDefault="002F1EF3" w:rsidP="002F1EF3">
      <w:pPr>
        <w:widowControl w:val="0"/>
        <w:autoSpaceDE w:val="0"/>
        <w:autoSpaceDN w:val="0"/>
        <w:adjustRightInd w:val="0"/>
        <w:ind w:left="1440" w:hanging="720"/>
      </w:pPr>
      <w:r>
        <w:t>c)</w:t>
      </w:r>
      <w:r>
        <w:tab/>
        <w:t xml:space="preserve">The air furnace as of November 23, 1977, either: </w:t>
      </w:r>
    </w:p>
    <w:p w:rsidR="003D25ED" w:rsidRDefault="003D25ED" w:rsidP="002F1EF3">
      <w:pPr>
        <w:widowControl w:val="0"/>
        <w:autoSpaceDE w:val="0"/>
        <w:autoSpaceDN w:val="0"/>
        <w:adjustRightInd w:val="0"/>
        <w:ind w:left="2160" w:hanging="720"/>
      </w:pPr>
    </w:p>
    <w:p w:rsidR="002F1EF3" w:rsidRDefault="002F1EF3" w:rsidP="002F1EF3">
      <w:pPr>
        <w:widowControl w:val="0"/>
        <w:autoSpaceDE w:val="0"/>
        <w:autoSpaceDN w:val="0"/>
        <w:adjustRightInd w:val="0"/>
        <w:ind w:left="2160" w:hanging="720"/>
      </w:pPr>
      <w:r>
        <w:t>1)</w:t>
      </w:r>
      <w:r>
        <w:tab/>
        <w:t xml:space="preserve">Is in compliance with the following allowable emissions from small iron-melting air furnaces covered by this Section: </w:t>
      </w:r>
    </w:p>
    <w:p w:rsidR="002F1EF3" w:rsidRDefault="002F1EF3" w:rsidP="002F1EF3">
      <w:pPr>
        <w:widowControl w:val="0"/>
        <w:autoSpaceDE w:val="0"/>
        <w:autoSpaceDN w:val="0"/>
        <w:adjustRightInd w:val="0"/>
        <w:ind w:left="2160" w:hanging="720"/>
      </w:pPr>
    </w:p>
    <w:tbl>
      <w:tblPr>
        <w:tblW w:w="0" w:type="auto"/>
        <w:tblInd w:w="2247"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021"/>
        <w:gridCol w:w="3078"/>
      </w:tblGrid>
      <w:tr w:rsidR="009E5E7E">
        <w:tblPrEx>
          <w:tblCellMar>
            <w:top w:w="0" w:type="dxa"/>
            <w:bottom w:w="0" w:type="dxa"/>
          </w:tblCellMar>
        </w:tblPrEx>
        <w:trPr>
          <w:trHeight w:val="570"/>
        </w:trPr>
        <w:tc>
          <w:tcPr>
            <w:tcW w:w="3021" w:type="dxa"/>
            <w:tcBorders>
              <w:top w:val="nil"/>
              <w:left w:val="nil"/>
              <w:right w:val="nil"/>
            </w:tcBorders>
            <w:vAlign w:val="bottom"/>
          </w:tcPr>
          <w:p w:rsidR="009E5E7E" w:rsidRDefault="009E5E7E" w:rsidP="009E5E7E">
            <w:pPr>
              <w:widowControl w:val="0"/>
              <w:autoSpaceDE w:val="0"/>
              <w:autoSpaceDN w:val="0"/>
              <w:adjustRightInd w:val="0"/>
              <w:jc w:val="center"/>
            </w:pPr>
            <w:r>
              <w:t>Process Weight Rate</w:t>
            </w:r>
          </w:p>
        </w:tc>
        <w:tc>
          <w:tcPr>
            <w:tcW w:w="3078" w:type="dxa"/>
            <w:tcBorders>
              <w:top w:val="nil"/>
              <w:left w:val="nil"/>
              <w:right w:val="nil"/>
            </w:tcBorders>
          </w:tcPr>
          <w:p w:rsidR="009E5E7E" w:rsidRDefault="009E5E7E" w:rsidP="009E5E7E">
            <w:pPr>
              <w:widowControl w:val="0"/>
              <w:autoSpaceDE w:val="0"/>
              <w:autoSpaceDN w:val="0"/>
              <w:adjustRightInd w:val="0"/>
              <w:jc w:val="center"/>
            </w:pPr>
            <w:r>
              <w:t>Allowable Average Emission Rate</w:t>
            </w:r>
          </w:p>
        </w:tc>
      </w:tr>
      <w:tr w:rsidR="009E5E7E">
        <w:tblPrEx>
          <w:tblCellMar>
            <w:top w:w="0" w:type="dxa"/>
            <w:bottom w:w="0" w:type="dxa"/>
          </w:tblCellMar>
        </w:tblPrEx>
        <w:trPr>
          <w:trHeight w:val="369"/>
        </w:trPr>
        <w:tc>
          <w:tcPr>
            <w:tcW w:w="3021" w:type="dxa"/>
            <w:tcBorders>
              <w:top w:val="nil"/>
              <w:left w:val="nil"/>
              <w:bottom w:val="nil"/>
              <w:right w:val="nil"/>
            </w:tcBorders>
            <w:vAlign w:val="bottom"/>
          </w:tcPr>
          <w:p w:rsidR="009E5E7E" w:rsidRDefault="009E5E7E" w:rsidP="009E5E7E">
            <w:pPr>
              <w:widowControl w:val="0"/>
              <w:autoSpaceDE w:val="0"/>
              <w:autoSpaceDN w:val="0"/>
              <w:adjustRightInd w:val="0"/>
              <w:jc w:val="center"/>
            </w:pPr>
            <w:r>
              <w:t>lbs/hr</w:t>
            </w:r>
          </w:p>
        </w:tc>
        <w:tc>
          <w:tcPr>
            <w:tcW w:w="3078" w:type="dxa"/>
            <w:tcBorders>
              <w:top w:val="nil"/>
              <w:left w:val="nil"/>
              <w:bottom w:val="nil"/>
              <w:right w:val="nil"/>
            </w:tcBorders>
            <w:vAlign w:val="bottom"/>
          </w:tcPr>
          <w:p w:rsidR="009E5E7E" w:rsidRDefault="009E5E7E" w:rsidP="009E5E7E">
            <w:pPr>
              <w:widowControl w:val="0"/>
              <w:autoSpaceDE w:val="0"/>
              <w:autoSpaceDN w:val="0"/>
              <w:adjustRightInd w:val="0"/>
              <w:jc w:val="center"/>
            </w:pPr>
            <w:r>
              <w:t>lbs/hr</w:t>
            </w:r>
          </w:p>
        </w:tc>
      </w:tr>
      <w:tr w:rsidR="009E5E7E">
        <w:tblPrEx>
          <w:tblCellMar>
            <w:top w:w="0" w:type="dxa"/>
            <w:bottom w:w="0" w:type="dxa"/>
          </w:tblCellMar>
        </w:tblPrEx>
        <w:tc>
          <w:tcPr>
            <w:tcW w:w="3021" w:type="dxa"/>
            <w:tcBorders>
              <w:top w:val="nil"/>
              <w:left w:val="nil"/>
              <w:bottom w:val="nil"/>
              <w:right w:val="nil"/>
            </w:tcBorders>
          </w:tcPr>
          <w:p w:rsidR="009E5E7E" w:rsidRDefault="009E5E7E" w:rsidP="009E5E7E">
            <w:pPr>
              <w:widowControl w:val="0"/>
              <w:autoSpaceDE w:val="0"/>
              <w:autoSpaceDN w:val="0"/>
              <w:adjustRightInd w:val="0"/>
              <w:jc w:val="center"/>
            </w:pPr>
            <w:r>
              <w:t>1,000</w:t>
            </w:r>
          </w:p>
        </w:tc>
        <w:tc>
          <w:tcPr>
            <w:tcW w:w="3078" w:type="dxa"/>
            <w:tcBorders>
              <w:top w:val="nil"/>
              <w:left w:val="nil"/>
              <w:bottom w:val="nil"/>
              <w:right w:val="nil"/>
            </w:tcBorders>
          </w:tcPr>
          <w:p w:rsidR="009E5E7E" w:rsidRDefault="009E5E7E" w:rsidP="009E5E7E">
            <w:pPr>
              <w:widowControl w:val="0"/>
              <w:autoSpaceDE w:val="0"/>
              <w:autoSpaceDN w:val="0"/>
              <w:adjustRightInd w:val="0"/>
              <w:jc w:val="center"/>
            </w:pPr>
            <w:r>
              <w:t>6.10</w:t>
            </w:r>
          </w:p>
        </w:tc>
      </w:tr>
      <w:tr w:rsidR="009E5E7E">
        <w:tblPrEx>
          <w:tblCellMar>
            <w:top w:w="0" w:type="dxa"/>
            <w:bottom w:w="0" w:type="dxa"/>
          </w:tblCellMar>
        </w:tblPrEx>
        <w:tc>
          <w:tcPr>
            <w:tcW w:w="3021" w:type="dxa"/>
            <w:tcBorders>
              <w:top w:val="nil"/>
              <w:left w:val="nil"/>
              <w:bottom w:val="nil"/>
              <w:right w:val="nil"/>
            </w:tcBorders>
          </w:tcPr>
          <w:p w:rsidR="009E5E7E" w:rsidRDefault="009E5E7E" w:rsidP="009E5E7E">
            <w:pPr>
              <w:widowControl w:val="0"/>
              <w:autoSpaceDE w:val="0"/>
              <w:autoSpaceDN w:val="0"/>
              <w:adjustRightInd w:val="0"/>
              <w:jc w:val="center"/>
            </w:pPr>
            <w:r>
              <w:t>2,000</w:t>
            </w:r>
          </w:p>
        </w:tc>
        <w:tc>
          <w:tcPr>
            <w:tcW w:w="3078" w:type="dxa"/>
            <w:tcBorders>
              <w:top w:val="nil"/>
              <w:left w:val="nil"/>
              <w:bottom w:val="nil"/>
              <w:right w:val="nil"/>
            </w:tcBorders>
          </w:tcPr>
          <w:p w:rsidR="009E5E7E" w:rsidRDefault="009E5E7E" w:rsidP="009E5E7E">
            <w:pPr>
              <w:widowControl w:val="0"/>
              <w:autoSpaceDE w:val="0"/>
              <w:autoSpaceDN w:val="0"/>
              <w:adjustRightInd w:val="0"/>
              <w:jc w:val="center"/>
            </w:pPr>
            <w:r>
              <w:t>9.40</w:t>
            </w:r>
          </w:p>
        </w:tc>
      </w:tr>
      <w:tr w:rsidR="009E5E7E">
        <w:tblPrEx>
          <w:tblCellMar>
            <w:top w:w="0" w:type="dxa"/>
            <w:bottom w:w="0" w:type="dxa"/>
          </w:tblCellMar>
        </w:tblPrEx>
        <w:tc>
          <w:tcPr>
            <w:tcW w:w="3021" w:type="dxa"/>
            <w:tcBorders>
              <w:top w:val="nil"/>
              <w:left w:val="nil"/>
              <w:bottom w:val="nil"/>
              <w:right w:val="nil"/>
            </w:tcBorders>
          </w:tcPr>
          <w:p w:rsidR="009E5E7E" w:rsidRDefault="009E5E7E" w:rsidP="009E5E7E">
            <w:pPr>
              <w:widowControl w:val="0"/>
              <w:autoSpaceDE w:val="0"/>
              <w:autoSpaceDN w:val="0"/>
              <w:adjustRightInd w:val="0"/>
              <w:jc w:val="center"/>
            </w:pPr>
            <w:r>
              <w:t>3,000</w:t>
            </w:r>
          </w:p>
        </w:tc>
        <w:tc>
          <w:tcPr>
            <w:tcW w:w="3078" w:type="dxa"/>
            <w:tcBorders>
              <w:top w:val="nil"/>
              <w:left w:val="nil"/>
              <w:bottom w:val="nil"/>
              <w:right w:val="nil"/>
            </w:tcBorders>
          </w:tcPr>
          <w:p w:rsidR="009E5E7E" w:rsidRDefault="009E5E7E" w:rsidP="009E5E7E">
            <w:pPr>
              <w:widowControl w:val="0"/>
              <w:autoSpaceDE w:val="0"/>
              <w:autoSpaceDN w:val="0"/>
              <w:adjustRightInd w:val="0"/>
              <w:jc w:val="center"/>
            </w:pPr>
            <w:r>
              <w:t>12.70</w:t>
            </w:r>
          </w:p>
        </w:tc>
      </w:tr>
      <w:tr w:rsidR="009E5E7E">
        <w:tblPrEx>
          <w:tblCellMar>
            <w:top w:w="0" w:type="dxa"/>
            <w:bottom w:w="0" w:type="dxa"/>
          </w:tblCellMar>
        </w:tblPrEx>
        <w:tc>
          <w:tcPr>
            <w:tcW w:w="3021" w:type="dxa"/>
            <w:tcBorders>
              <w:top w:val="nil"/>
              <w:left w:val="nil"/>
              <w:bottom w:val="nil"/>
              <w:right w:val="nil"/>
            </w:tcBorders>
          </w:tcPr>
          <w:p w:rsidR="009E5E7E" w:rsidRDefault="009E5E7E" w:rsidP="009E5E7E">
            <w:pPr>
              <w:widowControl w:val="0"/>
              <w:autoSpaceDE w:val="0"/>
              <w:autoSpaceDN w:val="0"/>
              <w:adjustRightInd w:val="0"/>
              <w:jc w:val="center"/>
            </w:pPr>
            <w:r>
              <w:t>4,000</w:t>
            </w:r>
          </w:p>
        </w:tc>
        <w:tc>
          <w:tcPr>
            <w:tcW w:w="3078" w:type="dxa"/>
            <w:tcBorders>
              <w:top w:val="nil"/>
              <w:left w:val="nil"/>
              <w:bottom w:val="nil"/>
              <w:right w:val="nil"/>
            </w:tcBorders>
          </w:tcPr>
          <w:p w:rsidR="009E5E7E" w:rsidRDefault="009E5E7E" w:rsidP="009E5E7E">
            <w:pPr>
              <w:widowControl w:val="0"/>
              <w:autoSpaceDE w:val="0"/>
              <w:autoSpaceDN w:val="0"/>
              <w:adjustRightInd w:val="0"/>
              <w:jc w:val="center"/>
            </w:pPr>
            <w:r>
              <w:t>16.00</w:t>
            </w:r>
          </w:p>
        </w:tc>
      </w:tr>
      <w:tr w:rsidR="009E5E7E">
        <w:tblPrEx>
          <w:tblCellMar>
            <w:top w:w="0" w:type="dxa"/>
            <w:bottom w:w="0" w:type="dxa"/>
          </w:tblCellMar>
        </w:tblPrEx>
        <w:tc>
          <w:tcPr>
            <w:tcW w:w="3021" w:type="dxa"/>
            <w:tcBorders>
              <w:top w:val="nil"/>
              <w:left w:val="nil"/>
              <w:bottom w:val="nil"/>
              <w:right w:val="nil"/>
            </w:tcBorders>
          </w:tcPr>
          <w:p w:rsidR="009E5E7E" w:rsidRDefault="009E5E7E" w:rsidP="009E5E7E">
            <w:pPr>
              <w:widowControl w:val="0"/>
              <w:autoSpaceDE w:val="0"/>
              <w:autoSpaceDN w:val="0"/>
              <w:adjustRightInd w:val="0"/>
              <w:jc w:val="center"/>
            </w:pPr>
            <w:r>
              <w:t>5,000</w:t>
            </w:r>
          </w:p>
        </w:tc>
        <w:tc>
          <w:tcPr>
            <w:tcW w:w="3078" w:type="dxa"/>
            <w:tcBorders>
              <w:top w:val="nil"/>
              <w:left w:val="nil"/>
              <w:bottom w:val="nil"/>
              <w:right w:val="nil"/>
            </w:tcBorders>
          </w:tcPr>
          <w:p w:rsidR="009E5E7E" w:rsidRDefault="009E5E7E" w:rsidP="009E5E7E">
            <w:pPr>
              <w:widowControl w:val="0"/>
              <w:autoSpaceDE w:val="0"/>
              <w:autoSpaceDN w:val="0"/>
              <w:adjustRightInd w:val="0"/>
              <w:jc w:val="center"/>
            </w:pPr>
            <w:r>
              <w:t>19.16</w:t>
            </w:r>
          </w:p>
        </w:tc>
      </w:tr>
    </w:tbl>
    <w:p w:rsidR="009E5E7E" w:rsidRDefault="009E5E7E" w:rsidP="002F1EF3">
      <w:pPr>
        <w:widowControl w:val="0"/>
        <w:autoSpaceDE w:val="0"/>
        <w:autoSpaceDN w:val="0"/>
        <w:adjustRightInd w:val="0"/>
        <w:ind w:left="1440" w:hanging="720"/>
      </w:pPr>
    </w:p>
    <w:p w:rsidR="009E5E7E" w:rsidRDefault="002F1EF3" w:rsidP="009E5E7E">
      <w:pPr>
        <w:widowControl w:val="0"/>
        <w:autoSpaceDE w:val="0"/>
        <w:autoSpaceDN w:val="0"/>
        <w:adjustRightInd w:val="0"/>
        <w:ind w:left="1440"/>
      </w:pPr>
      <w:r>
        <w:t>(Board Note:  The average emission rate is computed by dividing the sum of the emissions during operation by the number of hours of operation, excluding any time during which the equipment is idle.  For process weight rates not listed, straight line interpolation between two consecutive process weight rates shall be used to determine allowable average emission rates.); or</w:t>
      </w:r>
    </w:p>
    <w:p w:rsidR="002F1EF3" w:rsidRDefault="002F1EF3" w:rsidP="009E5E7E">
      <w:pPr>
        <w:widowControl w:val="0"/>
        <w:autoSpaceDE w:val="0"/>
        <w:autoSpaceDN w:val="0"/>
        <w:adjustRightInd w:val="0"/>
        <w:ind w:left="1440"/>
      </w:pPr>
    </w:p>
    <w:p w:rsidR="002F1EF3" w:rsidRDefault="002F1EF3" w:rsidP="002F1EF3">
      <w:pPr>
        <w:widowControl w:val="0"/>
        <w:autoSpaceDE w:val="0"/>
        <w:autoSpaceDN w:val="0"/>
        <w:adjustRightInd w:val="0"/>
        <w:ind w:left="2160" w:hanging="720"/>
      </w:pPr>
      <w:r>
        <w:t>2)</w:t>
      </w:r>
      <w:r>
        <w:tab/>
        <w:t xml:space="preserve">Is in compliance with the terms and conditions of a variance granted by the Board; and construction has commenced on equipment or modifications sufficient to achieve compliance with subsection (c)(1) of this Section. </w:t>
      </w:r>
    </w:p>
    <w:p w:rsidR="002F1EF3" w:rsidRDefault="002F1EF3" w:rsidP="002F1EF3">
      <w:pPr>
        <w:widowControl w:val="0"/>
        <w:autoSpaceDE w:val="0"/>
        <w:autoSpaceDN w:val="0"/>
        <w:adjustRightInd w:val="0"/>
        <w:ind w:left="2160" w:hanging="720"/>
      </w:pPr>
    </w:p>
    <w:p w:rsidR="002F1EF3" w:rsidRDefault="002F1EF3" w:rsidP="002F1EF3">
      <w:pPr>
        <w:widowControl w:val="0"/>
        <w:autoSpaceDE w:val="0"/>
        <w:autoSpaceDN w:val="0"/>
        <w:adjustRightInd w:val="0"/>
        <w:ind w:left="1440" w:hanging="720"/>
      </w:pPr>
      <w:r>
        <w:t xml:space="preserve">(Source:  Amended at 20 Ill. Reg. 7605, effective May 22, 1996) </w:t>
      </w:r>
    </w:p>
    <w:sectPr w:rsidR="002F1EF3" w:rsidSect="002F1E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1EF3"/>
    <w:rsid w:val="0019162D"/>
    <w:rsid w:val="002F1EF3"/>
    <w:rsid w:val="003D25ED"/>
    <w:rsid w:val="005C010F"/>
    <w:rsid w:val="005C3366"/>
    <w:rsid w:val="009E5E7E"/>
    <w:rsid w:val="00B8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