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DB" w:rsidRDefault="00D040DB" w:rsidP="00D040DB">
      <w:pPr>
        <w:widowControl w:val="0"/>
        <w:autoSpaceDE w:val="0"/>
        <w:autoSpaceDN w:val="0"/>
        <w:adjustRightInd w:val="0"/>
      </w:pPr>
      <w:bookmarkStart w:id="0" w:name="_GoBack"/>
      <w:bookmarkEnd w:id="0"/>
    </w:p>
    <w:p w:rsidR="00D040DB" w:rsidRDefault="00D040DB" w:rsidP="00D040DB">
      <w:pPr>
        <w:widowControl w:val="0"/>
        <w:autoSpaceDE w:val="0"/>
        <w:autoSpaceDN w:val="0"/>
        <w:adjustRightInd w:val="0"/>
      </w:pPr>
      <w:r>
        <w:rPr>
          <w:b/>
          <w:bCs/>
        </w:rPr>
        <w:t xml:space="preserve">Section 214.184 </w:t>
      </w:r>
      <w:r w:rsidR="00A93194">
        <w:rPr>
          <w:b/>
          <w:bCs/>
        </w:rPr>
        <w:t xml:space="preserve"> </w:t>
      </w:r>
      <w:r>
        <w:rPr>
          <w:b/>
          <w:bCs/>
        </w:rPr>
        <w:t xml:space="preserve"> Special Formula</w:t>
      </w:r>
      <w:r>
        <w:t xml:space="preserve"> </w:t>
      </w:r>
    </w:p>
    <w:p w:rsidR="00D040DB" w:rsidRDefault="00D040DB" w:rsidP="00D040DB">
      <w:pPr>
        <w:widowControl w:val="0"/>
        <w:autoSpaceDE w:val="0"/>
        <w:autoSpaceDN w:val="0"/>
        <w:adjustRightInd w:val="0"/>
      </w:pPr>
    </w:p>
    <w:p w:rsidR="00D040DB" w:rsidRDefault="00D040DB" w:rsidP="00D86310">
      <w:pPr>
        <w:widowControl w:val="0"/>
        <w:autoSpaceDE w:val="0"/>
        <w:autoSpaceDN w:val="0"/>
        <w:adjustRightInd w:val="0"/>
        <w:ind w:left="1440" w:hanging="720"/>
      </w:pPr>
      <w:r>
        <w:t>a)</w:t>
      </w:r>
      <w:r>
        <w:tab/>
        <w:t xml:space="preserve">If the maximum total emissions of sulfur dioxide into the atmosphere in any one hour period from all fuel combustion emission sources owned or operated by any person and located within a 1 mile (1.6 km) radius from the center point of any such fuel combustion emission sources exceed, during normal cyclical variations in firing rate and fuel, the emissions allowed under Section 214.183 but, as of April 1, 1978, were in compliance with either the formula detailed below or a Pollution Control Board (Board) order, then the owner or operator of the emission sources shall not cause or allow such emissions to exceed the emissions allowed under Section 214.183 or the formula detailed below, whichever the owner or operator of the emission sources determines shall apply. </w:t>
      </w:r>
    </w:p>
    <w:p w:rsidR="00F563D3" w:rsidRDefault="00F563D3" w:rsidP="00D040DB">
      <w:pPr>
        <w:widowControl w:val="0"/>
        <w:autoSpaceDE w:val="0"/>
        <w:autoSpaceDN w:val="0"/>
        <w:adjustRightInd w:val="0"/>
        <w:ind w:left="1440" w:hanging="720"/>
      </w:pPr>
    </w:p>
    <w:tbl>
      <w:tblPr>
        <w:tblW w:w="0" w:type="auto"/>
        <w:tblInd w:w="849" w:type="dxa"/>
        <w:tblLook w:val="0000" w:firstRow="0" w:lastRow="0" w:firstColumn="0" w:lastColumn="0" w:noHBand="0" w:noVBand="0"/>
      </w:tblPr>
      <w:tblGrid>
        <w:gridCol w:w="3192"/>
        <w:gridCol w:w="279"/>
        <w:gridCol w:w="576"/>
        <w:gridCol w:w="285"/>
        <w:gridCol w:w="342"/>
        <w:gridCol w:w="2451"/>
        <w:tblGridChange w:id="1">
          <w:tblGrid>
            <w:gridCol w:w="3192"/>
            <w:gridCol w:w="279"/>
            <w:gridCol w:w="576"/>
            <w:gridCol w:w="285"/>
            <w:gridCol w:w="342"/>
            <w:gridCol w:w="2451"/>
          </w:tblGrid>
        </w:tblGridChange>
      </w:tblGrid>
      <w:tr w:rsidR="00177B75">
        <w:tblPrEx>
          <w:tblCellMar>
            <w:top w:w="0" w:type="dxa"/>
            <w:bottom w:w="0" w:type="dxa"/>
          </w:tblCellMar>
        </w:tblPrEx>
        <w:tc>
          <w:tcPr>
            <w:tcW w:w="3192" w:type="dxa"/>
            <w:vMerge w:val="restart"/>
            <w:vAlign w:val="center"/>
          </w:tcPr>
          <w:p w:rsidR="00177B75" w:rsidRDefault="00177B75" w:rsidP="00177B75">
            <w:pPr>
              <w:widowControl w:val="0"/>
              <w:tabs>
                <w:tab w:val="left" w:pos="771"/>
              </w:tabs>
              <w:autoSpaceDE w:val="0"/>
              <w:autoSpaceDN w:val="0"/>
              <w:adjustRightInd w:val="0"/>
              <w:ind w:left="-111"/>
            </w:pPr>
            <w:r>
              <w:t>b)</w:t>
            </w:r>
            <w:r>
              <w:tab/>
              <w:t>E = 20,000</w:t>
            </w:r>
          </w:p>
        </w:tc>
        <w:tc>
          <w:tcPr>
            <w:tcW w:w="279" w:type="dxa"/>
            <w:vMerge w:val="restart"/>
          </w:tcPr>
          <w:p w:rsidR="00177B75" w:rsidRDefault="00177B75" w:rsidP="00D86310">
            <w:pPr>
              <w:widowControl w:val="0"/>
              <w:autoSpaceDE w:val="0"/>
              <w:autoSpaceDN w:val="0"/>
              <w:adjustRightInd w:val="0"/>
              <w:ind w:right="-222"/>
            </w:pPr>
            <w:r w:rsidRPr="008B3920">
              <w:rPr>
                <w:kern w:val="28"/>
                <w:sz w:val="52"/>
                <w:szCs w:val="52"/>
              </w:rPr>
              <w:t>(</w:t>
            </w:r>
          </w:p>
        </w:tc>
        <w:tc>
          <w:tcPr>
            <w:tcW w:w="576" w:type="dxa"/>
            <w:tcBorders>
              <w:bottom w:val="single" w:sz="4" w:space="0" w:color="auto"/>
            </w:tcBorders>
          </w:tcPr>
          <w:p w:rsidR="00177B75" w:rsidRDefault="00177B75" w:rsidP="00D86310">
            <w:pPr>
              <w:widowControl w:val="0"/>
              <w:autoSpaceDE w:val="0"/>
              <w:autoSpaceDN w:val="0"/>
              <w:adjustRightInd w:val="0"/>
              <w:jc w:val="center"/>
            </w:pPr>
            <w:r>
              <w:t>H</w:t>
            </w:r>
            <w:r>
              <w:rPr>
                <w:vertAlign w:val="subscript"/>
              </w:rPr>
              <w:t>S</w:t>
            </w:r>
          </w:p>
        </w:tc>
        <w:tc>
          <w:tcPr>
            <w:tcW w:w="285" w:type="dxa"/>
            <w:vMerge w:val="restart"/>
          </w:tcPr>
          <w:p w:rsidR="00177B75" w:rsidRDefault="00177B75" w:rsidP="00D86310">
            <w:pPr>
              <w:widowControl w:val="0"/>
              <w:autoSpaceDE w:val="0"/>
              <w:autoSpaceDN w:val="0"/>
              <w:adjustRightInd w:val="0"/>
              <w:ind w:left="-108" w:hanging="36"/>
            </w:pPr>
            <w:r w:rsidRPr="008B3920">
              <w:rPr>
                <w:kern w:val="28"/>
                <w:sz w:val="52"/>
                <w:szCs w:val="52"/>
              </w:rPr>
              <w:t>)</w:t>
            </w:r>
          </w:p>
        </w:tc>
        <w:tc>
          <w:tcPr>
            <w:tcW w:w="342" w:type="dxa"/>
          </w:tcPr>
          <w:p w:rsidR="00177B75" w:rsidRDefault="00177B75" w:rsidP="00D86310">
            <w:pPr>
              <w:widowControl w:val="0"/>
              <w:autoSpaceDE w:val="0"/>
              <w:autoSpaceDN w:val="0"/>
              <w:adjustRightInd w:val="0"/>
              <w:ind w:hanging="108"/>
            </w:pPr>
            <w:r>
              <w:rPr>
                <w:vertAlign w:val="superscript"/>
              </w:rPr>
              <w:t>2</w:t>
            </w:r>
          </w:p>
        </w:tc>
        <w:tc>
          <w:tcPr>
            <w:tcW w:w="2451" w:type="dxa"/>
            <w:vMerge w:val="restart"/>
            <w:vAlign w:val="center"/>
          </w:tcPr>
          <w:p w:rsidR="00177B75" w:rsidRDefault="00177B75" w:rsidP="00177B75">
            <w:pPr>
              <w:widowControl w:val="0"/>
              <w:autoSpaceDE w:val="0"/>
              <w:autoSpaceDN w:val="0"/>
              <w:adjustRightInd w:val="0"/>
              <w:ind w:left="39"/>
              <w:jc w:val="center"/>
            </w:pPr>
            <w:r>
              <w:t>(in English units)</w:t>
            </w:r>
          </w:p>
        </w:tc>
      </w:tr>
      <w:tr w:rsidR="00177B75">
        <w:tblPrEx>
          <w:tblCellMar>
            <w:top w:w="0" w:type="dxa"/>
            <w:bottom w:w="0" w:type="dxa"/>
          </w:tblCellMar>
        </w:tblPrEx>
        <w:tc>
          <w:tcPr>
            <w:tcW w:w="3192" w:type="dxa"/>
            <w:vMerge/>
            <w:vAlign w:val="center"/>
          </w:tcPr>
          <w:p w:rsidR="00177B75" w:rsidRDefault="00177B75" w:rsidP="00D040DB">
            <w:pPr>
              <w:widowControl w:val="0"/>
              <w:autoSpaceDE w:val="0"/>
              <w:autoSpaceDN w:val="0"/>
              <w:adjustRightInd w:val="0"/>
            </w:pPr>
          </w:p>
        </w:tc>
        <w:tc>
          <w:tcPr>
            <w:tcW w:w="279" w:type="dxa"/>
            <w:vMerge/>
          </w:tcPr>
          <w:p w:rsidR="00177B75" w:rsidRDefault="00177B75" w:rsidP="00D040DB">
            <w:pPr>
              <w:widowControl w:val="0"/>
              <w:autoSpaceDE w:val="0"/>
              <w:autoSpaceDN w:val="0"/>
              <w:adjustRightInd w:val="0"/>
            </w:pPr>
          </w:p>
        </w:tc>
        <w:tc>
          <w:tcPr>
            <w:tcW w:w="576" w:type="dxa"/>
            <w:tcBorders>
              <w:top w:val="single" w:sz="4" w:space="0" w:color="auto"/>
            </w:tcBorders>
          </w:tcPr>
          <w:p w:rsidR="00177B75" w:rsidRDefault="00177B75" w:rsidP="00D86310">
            <w:pPr>
              <w:widowControl w:val="0"/>
              <w:autoSpaceDE w:val="0"/>
              <w:autoSpaceDN w:val="0"/>
              <w:adjustRightInd w:val="0"/>
              <w:jc w:val="center"/>
            </w:pPr>
            <w:r>
              <w:t>300</w:t>
            </w:r>
          </w:p>
        </w:tc>
        <w:tc>
          <w:tcPr>
            <w:tcW w:w="285" w:type="dxa"/>
            <w:vMerge/>
          </w:tcPr>
          <w:p w:rsidR="00177B75" w:rsidRDefault="00177B75" w:rsidP="00D040DB">
            <w:pPr>
              <w:widowControl w:val="0"/>
              <w:autoSpaceDE w:val="0"/>
              <w:autoSpaceDN w:val="0"/>
              <w:adjustRightInd w:val="0"/>
            </w:pPr>
          </w:p>
        </w:tc>
        <w:tc>
          <w:tcPr>
            <w:tcW w:w="342" w:type="dxa"/>
          </w:tcPr>
          <w:p w:rsidR="00177B75" w:rsidRDefault="00177B75" w:rsidP="00D040DB">
            <w:pPr>
              <w:widowControl w:val="0"/>
              <w:autoSpaceDE w:val="0"/>
              <w:autoSpaceDN w:val="0"/>
              <w:adjustRightInd w:val="0"/>
            </w:pPr>
          </w:p>
        </w:tc>
        <w:tc>
          <w:tcPr>
            <w:tcW w:w="2451" w:type="dxa"/>
            <w:vMerge/>
          </w:tcPr>
          <w:p w:rsidR="00177B75" w:rsidRDefault="00177B75" w:rsidP="00D040DB">
            <w:pPr>
              <w:widowControl w:val="0"/>
              <w:autoSpaceDE w:val="0"/>
              <w:autoSpaceDN w:val="0"/>
              <w:adjustRightInd w:val="0"/>
            </w:pPr>
          </w:p>
        </w:tc>
      </w:tr>
    </w:tbl>
    <w:p w:rsidR="00D86310" w:rsidRDefault="00D86310" w:rsidP="00D040DB">
      <w:pPr>
        <w:widowControl w:val="0"/>
        <w:autoSpaceDE w:val="0"/>
        <w:autoSpaceDN w:val="0"/>
        <w:adjustRightInd w:val="0"/>
        <w:ind w:left="1440" w:hanging="720"/>
      </w:pPr>
    </w:p>
    <w:tbl>
      <w:tblPr>
        <w:tblW w:w="0" w:type="auto"/>
        <w:tblInd w:w="1732" w:type="dxa"/>
        <w:tblLayout w:type="fixed"/>
        <w:tblLook w:val="0000" w:firstRow="0" w:lastRow="0" w:firstColumn="0" w:lastColumn="0" w:noHBand="0" w:noVBand="0"/>
      </w:tblPr>
      <w:tblGrid>
        <w:gridCol w:w="257"/>
        <w:gridCol w:w="236"/>
        <w:gridCol w:w="1735"/>
        <w:gridCol w:w="252"/>
        <w:gridCol w:w="459"/>
        <w:gridCol w:w="236"/>
        <w:gridCol w:w="241"/>
        <w:gridCol w:w="2817"/>
      </w:tblGrid>
      <w:tr w:rsidR="00F563D3">
        <w:tblPrEx>
          <w:tblCellMar>
            <w:top w:w="0" w:type="dxa"/>
            <w:bottom w:w="0" w:type="dxa"/>
          </w:tblCellMar>
        </w:tblPrEx>
        <w:tc>
          <w:tcPr>
            <w:tcW w:w="257" w:type="dxa"/>
            <w:vMerge w:val="restart"/>
            <w:tcBorders>
              <w:bottom w:val="double" w:sz="4" w:space="0" w:color="auto"/>
            </w:tcBorders>
            <w:vAlign w:val="center"/>
          </w:tcPr>
          <w:p w:rsidR="00F563D3" w:rsidRDefault="00F563D3" w:rsidP="00813D39">
            <w:pPr>
              <w:widowControl w:val="0"/>
              <w:tabs>
                <w:tab w:val="left" w:pos="-2416"/>
              </w:tabs>
              <w:autoSpaceDE w:val="0"/>
              <w:autoSpaceDN w:val="0"/>
              <w:adjustRightInd w:val="0"/>
              <w:ind w:left="248" w:right="-4505" w:hanging="333"/>
            </w:pPr>
            <w:r>
              <w:t>E</w:t>
            </w:r>
          </w:p>
        </w:tc>
        <w:tc>
          <w:tcPr>
            <w:tcW w:w="236" w:type="dxa"/>
            <w:vMerge w:val="restart"/>
            <w:tcBorders>
              <w:bottom w:val="double" w:sz="4" w:space="0" w:color="auto"/>
            </w:tcBorders>
            <w:vAlign w:val="center"/>
          </w:tcPr>
          <w:p w:rsidR="00F563D3" w:rsidRDefault="00F563D3" w:rsidP="00813D39">
            <w:pPr>
              <w:widowControl w:val="0"/>
              <w:autoSpaceDE w:val="0"/>
              <w:autoSpaceDN w:val="0"/>
              <w:adjustRightInd w:val="0"/>
              <w:ind w:left="-117" w:right="-88"/>
              <w:jc w:val="center"/>
            </w:pPr>
            <w:r>
              <w:t>=</w:t>
            </w:r>
          </w:p>
        </w:tc>
        <w:tc>
          <w:tcPr>
            <w:tcW w:w="1735" w:type="dxa"/>
            <w:vMerge w:val="restart"/>
            <w:tcBorders>
              <w:bottom w:val="double" w:sz="4" w:space="0" w:color="auto"/>
            </w:tcBorders>
            <w:vAlign w:val="center"/>
          </w:tcPr>
          <w:p w:rsidR="00F563D3" w:rsidRPr="00F563D3" w:rsidRDefault="00F563D3" w:rsidP="00813D39">
            <w:pPr>
              <w:widowControl w:val="0"/>
              <w:autoSpaceDE w:val="0"/>
              <w:autoSpaceDN w:val="0"/>
              <w:adjustRightInd w:val="0"/>
              <w:ind w:left="-83" w:right="-99"/>
              <w:jc w:val="center"/>
            </w:pPr>
            <w:r>
              <w:t>4</w:t>
            </w:r>
            <w:r w:rsidR="002672A7">
              <w:t>.8824</w:t>
            </w:r>
            <w:r>
              <w:t xml:space="preserve"> x 20,000</w:t>
            </w:r>
          </w:p>
        </w:tc>
        <w:tc>
          <w:tcPr>
            <w:tcW w:w="252" w:type="dxa"/>
            <w:vMerge w:val="restart"/>
          </w:tcPr>
          <w:p w:rsidR="00F563D3" w:rsidRPr="00F563D3" w:rsidRDefault="00F563D3" w:rsidP="00925939">
            <w:pPr>
              <w:widowControl w:val="0"/>
              <w:autoSpaceDE w:val="0"/>
              <w:autoSpaceDN w:val="0"/>
              <w:adjustRightInd w:val="0"/>
              <w:ind w:left="-94" w:right="-99"/>
              <w:jc w:val="right"/>
              <w:rPr>
                <w:sz w:val="52"/>
                <w:szCs w:val="52"/>
              </w:rPr>
            </w:pPr>
            <w:r w:rsidRPr="00F563D3">
              <w:rPr>
                <w:sz w:val="52"/>
                <w:szCs w:val="52"/>
              </w:rPr>
              <w:t>(</w:t>
            </w:r>
          </w:p>
        </w:tc>
        <w:tc>
          <w:tcPr>
            <w:tcW w:w="459" w:type="dxa"/>
            <w:tcBorders>
              <w:bottom w:val="single" w:sz="4" w:space="0" w:color="auto"/>
            </w:tcBorders>
          </w:tcPr>
          <w:p w:rsidR="00F563D3" w:rsidRPr="00F563D3" w:rsidRDefault="00F563D3" w:rsidP="00925939">
            <w:pPr>
              <w:widowControl w:val="0"/>
              <w:autoSpaceDE w:val="0"/>
              <w:autoSpaceDN w:val="0"/>
              <w:adjustRightInd w:val="0"/>
              <w:ind w:left="-78" w:right="-72"/>
              <w:jc w:val="center"/>
              <w:rPr>
                <w:vertAlign w:val="subscript"/>
              </w:rPr>
            </w:pPr>
            <w:r>
              <w:t>H</w:t>
            </w:r>
            <w:r>
              <w:rPr>
                <w:vertAlign w:val="subscript"/>
              </w:rPr>
              <w:t>S</w:t>
            </w:r>
          </w:p>
        </w:tc>
        <w:tc>
          <w:tcPr>
            <w:tcW w:w="236" w:type="dxa"/>
            <w:vMerge w:val="restart"/>
            <w:shd w:val="clear" w:color="auto" w:fill="auto"/>
            <w:vAlign w:val="center"/>
          </w:tcPr>
          <w:p w:rsidR="00F563D3" w:rsidRDefault="00F563D3" w:rsidP="00925939">
            <w:pPr>
              <w:widowControl w:val="0"/>
              <w:autoSpaceDE w:val="0"/>
              <w:autoSpaceDN w:val="0"/>
              <w:adjustRightInd w:val="0"/>
              <w:ind w:left="-108" w:right="-45"/>
            </w:pPr>
            <w:r>
              <w:rPr>
                <w:sz w:val="52"/>
                <w:szCs w:val="52"/>
              </w:rPr>
              <w:t>)</w:t>
            </w:r>
          </w:p>
        </w:tc>
        <w:tc>
          <w:tcPr>
            <w:tcW w:w="241" w:type="dxa"/>
            <w:shd w:val="clear" w:color="auto" w:fill="auto"/>
            <w:vAlign w:val="bottom"/>
          </w:tcPr>
          <w:p w:rsidR="00F563D3" w:rsidRPr="00F563D3" w:rsidRDefault="00F563D3" w:rsidP="00925939">
            <w:pPr>
              <w:widowControl w:val="0"/>
              <w:autoSpaceDE w:val="0"/>
              <w:autoSpaceDN w:val="0"/>
              <w:adjustRightInd w:val="0"/>
              <w:ind w:left="-92"/>
              <w:rPr>
                <w:vertAlign w:val="superscript"/>
              </w:rPr>
            </w:pPr>
            <w:r>
              <w:rPr>
                <w:vertAlign w:val="superscript"/>
              </w:rPr>
              <w:t>2</w:t>
            </w:r>
          </w:p>
        </w:tc>
        <w:tc>
          <w:tcPr>
            <w:tcW w:w="2817" w:type="dxa"/>
            <w:vMerge w:val="restart"/>
            <w:vAlign w:val="center"/>
          </w:tcPr>
          <w:p w:rsidR="00F563D3" w:rsidRDefault="00F563D3" w:rsidP="00177B75">
            <w:pPr>
              <w:widowControl w:val="0"/>
              <w:autoSpaceDE w:val="0"/>
              <w:autoSpaceDN w:val="0"/>
              <w:adjustRightInd w:val="0"/>
              <w:ind w:left="279"/>
              <w:jc w:val="center"/>
            </w:pPr>
            <w:r>
              <w:t xml:space="preserve">(in </w:t>
            </w:r>
            <w:r w:rsidR="00B063F6">
              <w:t xml:space="preserve">Metric </w:t>
            </w:r>
            <w:r>
              <w:t>units)</w:t>
            </w:r>
          </w:p>
        </w:tc>
      </w:tr>
      <w:tr w:rsidR="00F563D3">
        <w:tblPrEx>
          <w:tblCellMar>
            <w:top w:w="0" w:type="dxa"/>
            <w:bottom w:w="0" w:type="dxa"/>
          </w:tblCellMar>
        </w:tblPrEx>
        <w:tc>
          <w:tcPr>
            <w:tcW w:w="257" w:type="dxa"/>
            <w:vMerge/>
            <w:tcBorders>
              <w:top w:val="single" w:sz="4" w:space="0" w:color="auto"/>
            </w:tcBorders>
            <w:vAlign w:val="center"/>
          </w:tcPr>
          <w:p w:rsidR="00F563D3" w:rsidRDefault="00F563D3" w:rsidP="00813D39">
            <w:pPr>
              <w:widowControl w:val="0"/>
              <w:autoSpaceDE w:val="0"/>
              <w:autoSpaceDN w:val="0"/>
              <w:adjustRightInd w:val="0"/>
              <w:ind w:left="248" w:hanging="333"/>
            </w:pPr>
          </w:p>
        </w:tc>
        <w:tc>
          <w:tcPr>
            <w:tcW w:w="236" w:type="dxa"/>
            <w:vMerge/>
            <w:tcBorders>
              <w:top w:val="single" w:sz="4" w:space="0" w:color="auto"/>
            </w:tcBorders>
            <w:vAlign w:val="center"/>
          </w:tcPr>
          <w:p w:rsidR="00F563D3" w:rsidRDefault="00F563D3" w:rsidP="00813D39">
            <w:pPr>
              <w:widowControl w:val="0"/>
              <w:autoSpaceDE w:val="0"/>
              <w:autoSpaceDN w:val="0"/>
              <w:adjustRightInd w:val="0"/>
              <w:ind w:left="-117" w:right="-88"/>
              <w:jc w:val="center"/>
            </w:pPr>
          </w:p>
        </w:tc>
        <w:tc>
          <w:tcPr>
            <w:tcW w:w="1735" w:type="dxa"/>
            <w:vMerge/>
          </w:tcPr>
          <w:p w:rsidR="00F563D3" w:rsidRDefault="00F563D3" w:rsidP="00813D39">
            <w:pPr>
              <w:widowControl w:val="0"/>
              <w:autoSpaceDE w:val="0"/>
              <w:autoSpaceDN w:val="0"/>
              <w:adjustRightInd w:val="0"/>
              <w:ind w:left="-83" w:right="-99"/>
              <w:jc w:val="center"/>
            </w:pPr>
          </w:p>
        </w:tc>
        <w:tc>
          <w:tcPr>
            <w:tcW w:w="252" w:type="dxa"/>
            <w:vMerge/>
          </w:tcPr>
          <w:p w:rsidR="00F563D3" w:rsidRDefault="00F563D3" w:rsidP="00925939">
            <w:pPr>
              <w:widowControl w:val="0"/>
              <w:autoSpaceDE w:val="0"/>
              <w:autoSpaceDN w:val="0"/>
              <w:adjustRightInd w:val="0"/>
              <w:ind w:left="-94" w:right="-99"/>
              <w:jc w:val="right"/>
            </w:pPr>
          </w:p>
        </w:tc>
        <w:tc>
          <w:tcPr>
            <w:tcW w:w="459" w:type="dxa"/>
            <w:tcBorders>
              <w:top w:val="single" w:sz="4" w:space="0" w:color="auto"/>
            </w:tcBorders>
          </w:tcPr>
          <w:p w:rsidR="00F563D3" w:rsidRDefault="00F563D3" w:rsidP="00925939">
            <w:pPr>
              <w:widowControl w:val="0"/>
              <w:autoSpaceDE w:val="0"/>
              <w:autoSpaceDN w:val="0"/>
              <w:adjustRightInd w:val="0"/>
              <w:ind w:left="-78" w:right="-72"/>
              <w:jc w:val="center"/>
            </w:pPr>
            <w:r>
              <w:t>300</w:t>
            </w:r>
          </w:p>
        </w:tc>
        <w:tc>
          <w:tcPr>
            <w:tcW w:w="236" w:type="dxa"/>
            <w:vMerge/>
            <w:shd w:val="clear" w:color="auto" w:fill="auto"/>
          </w:tcPr>
          <w:p w:rsidR="00F563D3" w:rsidRDefault="00F563D3" w:rsidP="00925939">
            <w:pPr>
              <w:widowControl w:val="0"/>
              <w:autoSpaceDE w:val="0"/>
              <w:autoSpaceDN w:val="0"/>
              <w:adjustRightInd w:val="0"/>
              <w:ind w:left="-108" w:right="-45"/>
            </w:pPr>
          </w:p>
        </w:tc>
        <w:tc>
          <w:tcPr>
            <w:tcW w:w="241" w:type="dxa"/>
            <w:shd w:val="clear" w:color="auto" w:fill="auto"/>
          </w:tcPr>
          <w:p w:rsidR="00F563D3" w:rsidRDefault="00F563D3" w:rsidP="00925939">
            <w:pPr>
              <w:widowControl w:val="0"/>
              <w:autoSpaceDE w:val="0"/>
              <w:autoSpaceDN w:val="0"/>
              <w:adjustRightInd w:val="0"/>
              <w:ind w:left="-92"/>
            </w:pPr>
          </w:p>
        </w:tc>
        <w:tc>
          <w:tcPr>
            <w:tcW w:w="2817" w:type="dxa"/>
            <w:vMerge/>
          </w:tcPr>
          <w:p w:rsidR="00F563D3" w:rsidRDefault="00F563D3" w:rsidP="00925939">
            <w:pPr>
              <w:widowControl w:val="0"/>
              <w:autoSpaceDE w:val="0"/>
              <w:autoSpaceDN w:val="0"/>
              <w:adjustRightInd w:val="0"/>
            </w:pPr>
          </w:p>
        </w:tc>
      </w:tr>
    </w:tbl>
    <w:p w:rsidR="00F563D3" w:rsidRDefault="00F563D3"/>
    <w:tbl>
      <w:tblPr>
        <w:tblW w:w="0" w:type="auto"/>
        <w:tblInd w:w="1746" w:type="dxa"/>
        <w:tblLayout w:type="fixed"/>
        <w:tblLook w:val="0000" w:firstRow="0" w:lastRow="0" w:firstColumn="0" w:lastColumn="0" w:noHBand="0" w:noVBand="0"/>
      </w:tblPr>
      <w:tblGrid>
        <w:gridCol w:w="252"/>
        <w:gridCol w:w="243"/>
        <w:gridCol w:w="2826"/>
      </w:tblGrid>
      <w:tr w:rsidR="00813D39">
        <w:tblPrEx>
          <w:tblCellMar>
            <w:top w:w="0" w:type="dxa"/>
            <w:bottom w:w="0" w:type="dxa"/>
          </w:tblCellMar>
        </w:tblPrEx>
        <w:tc>
          <w:tcPr>
            <w:tcW w:w="252" w:type="dxa"/>
          </w:tcPr>
          <w:p w:rsidR="00813D39" w:rsidRDefault="00813D39" w:rsidP="00813D39">
            <w:pPr>
              <w:widowControl w:val="0"/>
              <w:autoSpaceDE w:val="0"/>
              <w:autoSpaceDN w:val="0"/>
              <w:adjustRightInd w:val="0"/>
              <w:ind w:left="-108"/>
            </w:pPr>
            <w:r>
              <w:t>H</w:t>
            </w:r>
          </w:p>
        </w:tc>
        <w:tc>
          <w:tcPr>
            <w:tcW w:w="243" w:type="dxa"/>
          </w:tcPr>
          <w:p w:rsidR="00813D39" w:rsidRDefault="00813D39" w:rsidP="00813D39">
            <w:pPr>
              <w:widowControl w:val="0"/>
              <w:autoSpaceDE w:val="0"/>
              <w:autoSpaceDN w:val="0"/>
              <w:adjustRightInd w:val="0"/>
              <w:ind w:left="-120" w:right="-108"/>
              <w:jc w:val="center"/>
            </w:pPr>
            <w:r>
              <w:t>=</w:t>
            </w:r>
          </w:p>
        </w:tc>
        <w:tc>
          <w:tcPr>
            <w:tcW w:w="2826" w:type="dxa"/>
          </w:tcPr>
          <w:p w:rsidR="00813D39" w:rsidRDefault="00813D39" w:rsidP="00D040DB">
            <w:pPr>
              <w:widowControl w:val="0"/>
              <w:autoSpaceDE w:val="0"/>
              <w:autoSpaceDN w:val="0"/>
              <w:adjustRightInd w:val="0"/>
            </w:pPr>
            <w:r>
              <w:t>P</w:t>
            </w:r>
            <w:r>
              <w:rPr>
                <w:vertAlign w:val="subscript"/>
              </w:rPr>
              <w:t>1</w:t>
            </w:r>
            <w:r>
              <w:t xml:space="preserve"> H</w:t>
            </w:r>
            <w:r w:rsidRPr="00A93194">
              <w:rPr>
                <w:vertAlign w:val="subscript"/>
              </w:rPr>
              <w:t>1</w:t>
            </w:r>
            <w:r>
              <w:t xml:space="preserve"> + P</w:t>
            </w:r>
            <w:r w:rsidRPr="00A93194">
              <w:rPr>
                <w:vertAlign w:val="subscript"/>
              </w:rPr>
              <w:t>2</w:t>
            </w:r>
            <w:r>
              <w:t xml:space="preserve"> H</w:t>
            </w:r>
            <w:r w:rsidRPr="00A93194">
              <w:rPr>
                <w:vertAlign w:val="subscript"/>
              </w:rPr>
              <w:t>2</w:t>
            </w:r>
            <w:r>
              <w:t xml:space="preserve"> + . . . </w:t>
            </w:r>
            <w:proofErr w:type="spellStart"/>
            <w:r>
              <w:t>P</w:t>
            </w:r>
            <w:r w:rsidRPr="00A93194">
              <w:rPr>
                <w:vertAlign w:val="subscript"/>
              </w:rPr>
              <w:t>n</w:t>
            </w:r>
            <w:proofErr w:type="spellEnd"/>
            <w:r>
              <w:t xml:space="preserve"> </w:t>
            </w:r>
            <w:proofErr w:type="spellStart"/>
            <w:r>
              <w:t>H</w:t>
            </w:r>
            <w:r w:rsidRPr="00A93194">
              <w:rPr>
                <w:vertAlign w:val="subscript"/>
              </w:rPr>
              <w:t>n</w:t>
            </w:r>
            <w:proofErr w:type="spellEnd"/>
          </w:p>
        </w:tc>
      </w:tr>
    </w:tbl>
    <w:p w:rsidR="00DE14CB" w:rsidRDefault="00DE14CB" w:rsidP="00D040DB">
      <w:pPr>
        <w:widowControl w:val="0"/>
        <w:autoSpaceDE w:val="0"/>
        <w:autoSpaceDN w:val="0"/>
        <w:adjustRightInd w:val="0"/>
        <w:ind w:left="1440" w:hanging="720"/>
      </w:pPr>
    </w:p>
    <w:p w:rsidR="008B3920" w:rsidRDefault="008B3920" w:rsidP="00813D39">
      <w:pPr>
        <w:widowControl w:val="0"/>
        <w:autoSpaceDE w:val="0"/>
        <w:autoSpaceDN w:val="0"/>
        <w:adjustRightInd w:val="0"/>
        <w:ind w:left="5358" w:hanging="3720"/>
      </w:pPr>
      <w:r>
        <w:t>(Note:  P</w:t>
      </w:r>
      <w:r>
        <w:rPr>
          <w:vertAlign w:val="subscript"/>
        </w:rPr>
        <w:t>1</w:t>
      </w:r>
      <w:r>
        <w:t xml:space="preserve"> + P</w:t>
      </w:r>
      <w:r>
        <w:rPr>
          <w:vertAlign w:val="subscript"/>
        </w:rPr>
        <w:t>2</w:t>
      </w:r>
      <w:r>
        <w:t xml:space="preserve"> . . . </w:t>
      </w:r>
      <w:proofErr w:type="spellStart"/>
      <w:r>
        <w:t>P</w:t>
      </w:r>
      <w:r>
        <w:rPr>
          <w:vertAlign w:val="subscript"/>
        </w:rPr>
        <w:t>n</w:t>
      </w:r>
      <w:proofErr w:type="spellEnd"/>
      <w:r>
        <w:t xml:space="preserve"> = 1)</w:t>
      </w:r>
    </w:p>
    <w:p w:rsidR="008B3920" w:rsidRDefault="008B3920" w:rsidP="008B3920">
      <w:pPr>
        <w:widowControl w:val="0"/>
        <w:autoSpaceDE w:val="0"/>
        <w:autoSpaceDN w:val="0"/>
        <w:adjustRightInd w:val="0"/>
        <w:ind w:left="5358" w:hanging="3621"/>
      </w:pPr>
      <w:r>
        <w:tab/>
      </w:r>
    </w:p>
    <w:p w:rsidR="00D040DB" w:rsidRDefault="00D040DB" w:rsidP="00D040DB">
      <w:pPr>
        <w:widowControl w:val="0"/>
        <w:autoSpaceDE w:val="0"/>
        <w:autoSpaceDN w:val="0"/>
        <w:adjustRightInd w:val="0"/>
        <w:ind w:left="1440" w:hanging="720"/>
      </w:pPr>
      <w:r>
        <w:t>c)</w:t>
      </w:r>
      <w:r>
        <w:tab/>
        <w:t>As used in these equatio</w:t>
      </w:r>
      <w:r w:rsidR="00F22B88">
        <w:t>ns, symbols mean the following:</w:t>
      </w:r>
    </w:p>
    <w:p w:rsidR="00F22B88" w:rsidRDefault="00F22B88" w:rsidP="00D040DB">
      <w:pPr>
        <w:widowControl w:val="0"/>
        <w:autoSpaceDE w:val="0"/>
        <w:autoSpaceDN w:val="0"/>
        <w:adjustRightInd w:val="0"/>
        <w:ind w:left="1440" w:hanging="720"/>
      </w:pPr>
    </w:p>
    <w:tbl>
      <w:tblPr>
        <w:tblW w:w="8151" w:type="dxa"/>
        <w:tblInd w:w="1476" w:type="dxa"/>
        <w:tblLayout w:type="fixed"/>
        <w:tblLook w:val="0000" w:firstRow="0" w:lastRow="0" w:firstColumn="0" w:lastColumn="0" w:noHBand="0" w:noVBand="0"/>
      </w:tblPr>
      <w:tblGrid>
        <w:gridCol w:w="387"/>
        <w:gridCol w:w="243"/>
        <w:gridCol w:w="7521"/>
      </w:tblGrid>
      <w:tr w:rsidR="00F22B88">
        <w:tblPrEx>
          <w:tblCellMar>
            <w:top w:w="0" w:type="dxa"/>
            <w:bottom w:w="0" w:type="dxa"/>
          </w:tblCellMar>
        </w:tblPrEx>
        <w:tc>
          <w:tcPr>
            <w:tcW w:w="387" w:type="dxa"/>
          </w:tcPr>
          <w:p w:rsidR="00F22B88" w:rsidRDefault="00F22B88" w:rsidP="00813D39">
            <w:pPr>
              <w:widowControl w:val="0"/>
              <w:autoSpaceDE w:val="0"/>
              <w:autoSpaceDN w:val="0"/>
              <w:adjustRightInd w:val="0"/>
              <w:ind w:right="-108"/>
            </w:pPr>
            <w:r>
              <w:t>E</w:t>
            </w:r>
          </w:p>
        </w:tc>
        <w:tc>
          <w:tcPr>
            <w:tcW w:w="243" w:type="dxa"/>
          </w:tcPr>
          <w:p w:rsidR="00F22B88" w:rsidRDefault="00F22B88" w:rsidP="00C810EE">
            <w:pPr>
              <w:widowControl w:val="0"/>
              <w:autoSpaceDE w:val="0"/>
              <w:autoSpaceDN w:val="0"/>
              <w:adjustRightInd w:val="0"/>
              <w:ind w:left="-108" w:right="-111"/>
              <w:jc w:val="center"/>
            </w:pPr>
            <w:r>
              <w:t>=</w:t>
            </w:r>
          </w:p>
        </w:tc>
        <w:tc>
          <w:tcPr>
            <w:tcW w:w="7521" w:type="dxa"/>
          </w:tcPr>
          <w:p w:rsidR="00F22B88" w:rsidRDefault="00F22B88" w:rsidP="00813D39">
            <w:pPr>
              <w:widowControl w:val="0"/>
              <w:autoSpaceDE w:val="0"/>
              <w:autoSpaceDN w:val="0"/>
              <w:adjustRightInd w:val="0"/>
              <w:ind w:right="-108"/>
            </w:pPr>
            <w:r>
              <w:t>total emission of sulfur dioxide</w:t>
            </w:r>
            <w:r w:rsidR="003539DB">
              <w:t xml:space="preserve"> in </w:t>
            </w:r>
            <w:proofErr w:type="spellStart"/>
            <w:r w:rsidR="00A400AE">
              <w:t>lbs</w:t>
            </w:r>
            <w:proofErr w:type="spellEnd"/>
            <w:r w:rsidR="00A400AE">
              <w:t>/</w:t>
            </w:r>
            <w:proofErr w:type="spellStart"/>
            <w:r w:rsidR="00A400AE">
              <w:t>hr</w:t>
            </w:r>
            <w:proofErr w:type="spellEnd"/>
            <w:r w:rsidR="00A400AE">
              <w:t xml:space="preserve"> or kg/</w:t>
            </w:r>
            <w:proofErr w:type="spellStart"/>
            <w:r w:rsidR="00A400AE">
              <w:t>hr</w:t>
            </w:r>
            <w:proofErr w:type="spellEnd"/>
            <w:r w:rsidR="00A400AE">
              <w:t xml:space="preserve"> </w:t>
            </w:r>
            <w:r>
              <w:t xml:space="preserve"> into the atmosphere in any one hour period from all fuel combustion emission sources owned or operated by such person and located within a 1 mile </w:t>
            </w:r>
            <w:r w:rsidR="002867F4">
              <w:t xml:space="preserve">(1.6 km) </w:t>
            </w:r>
            <w:r>
              <w:t>radius from the center point of any such emission source;</w:t>
            </w:r>
          </w:p>
        </w:tc>
      </w:tr>
      <w:tr w:rsidR="002867F4">
        <w:tblPrEx>
          <w:tblCellMar>
            <w:top w:w="0" w:type="dxa"/>
            <w:bottom w:w="0" w:type="dxa"/>
          </w:tblCellMar>
        </w:tblPrEx>
        <w:tc>
          <w:tcPr>
            <w:tcW w:w="387" w:type="dxa"/>
          </w:tcPr>
          <w:p w:rsidR="002867F4" w:rsidRPr="00925939" w:rsidDel="002867F4" w:rsidRDefault="002867F4" w:rsidP="00813D39">
            <w:pPr>
              <w:widowControl w:val="0"/>
              <w:tabs>
                <w:tab w:val="left" w:leader="dot" w:pos="1431"/>
              </w:tabs>
              <w:autoSpaceDE w:val="0"/>
              <w:autoSpaceDN w:val="0"/>
              <w:adjustRightInd w:val="0"/>
              <w:ind w:right="-108"/>
              <w:rPr>
                <w:vertAlign w:val="subscript"/>
              </w:rPr>
            </w:pPr>
            <w:r>
              <w:t>P</w:t>
            </w:r>
            <w:r w:rsidR="00925939">
              <w:rPr>
                <w:vertAlign w:val="subscript"/>
              </w:rPr>
              <w:t>i</w:t>
            </w:r>
          </w:p>
        </w:tc>
        <w:tc>
          <w:tcPr>
            <w:tcW w:w="243" w:type="dxa"/>
          </w:tcPr>
          <w:p w:rsidR="002867F4" w:rsidRDefault="00925939" w:rsidP="00C810EE">
            <w:pPr>
              <w:widowControl w:val="0"/>
              <w:autoSpaceDE w:val="0"/>
              <w:autoSpaceDN w:val="0"/>
              <w:adjustRightInd w:val="0"/>
              <w:ind w:left="-108" w:right="-111"/>
              <w:jc w:val="center"/>
            </w:pPr>
            <w:r>
              <w:t>=</w:t>
            </w:r>
          </w:p>
        </w:tc>
        <w:tc>
          <w:tcPr>
            <w:tcW w:w="7521" w:type="dxa"/>
          </w:tcPr>
          <w:p w:rsidR="002867F4" w:rsidDel="002867F4" w:rsidRDefault="002867F4" w:rsidP="00813D39">
            <w:pPr>
              <w:widowControl w:val="0"/>
              <w:autoSpaceDE w:val="0"/>
              <w:autoSpaceDN w:val="0"/>
              <w:adjustRightInd w:val="0"/>
              <w:ind w:right="-108"/>
            </w:pPr>
            <w:r>
              <w:t>(for i</w:t>
            </w:r>
            <w:r w:rsidR="00813D39">
              <w:t xml:space="preserve">  </w:t>
            </w:r>
            <w:r>
              <w:t>=</w:t>
            </w:r>
            <w:r w:rsidR="00813D39">
              <w:t xml:space="preserve"> </w:t>
            </w:r>
            <w:r>
              <w:t>1, 2,</w:t>
            </w:r>
            <w:r w:rsidR="00813D39">
              <w:t xml:space="preserve"> . . . ,</w:t>
            </w:r>
            <w:r>
              <w:t xml:space="preserve">n) percentage </w:t>
            </w:r>
            <w:r w:rsidR="006B1D70">
              <w:t>of</w:t>
            </w:r>
            <w:r>
              <w:t xml:space="preserve"> total emissions E emitted from source i expressed as decimal equivalents (e.g., 21% = 0.21)</w:t>
            </w:r>
            <w:r w:rsidR="00925939">
              <w:t>;</w:t>
            </w:r>
            <w:r>
              <w:t xml:space="preserve"> and</w:t>
            </w:r>
          </w:p>
        </w:tc>
      </w:tr>
      <w:tr w:rsidR="002867F4">
        <w:tblPrEx>
          <w:tblCellMar>
            <w:top w:w="0" w:type="dxa"/>
            <w:bottom w:w="0" w:type="dxa"/>
          </w:tblCellMar>
        </w:tblPrEx>
        <w:tc>
          <w:tcPr>
            <w:tcW w:w="387" w:type="dxa"/>
          </w:tcPr>
          <w:p w:rsidR="002867F4" w:rsidDel="002867F4" w:rsidRDefault="002867F4" w:rsidP="00813D39">
            <w:pPr>
              <w:widowControl w:val="0"/>
              <w:tabs>
                <w:tab w:val="left" w:leader="dot" w:pos="1431"/>
              </w:tabs>
              <w:autoSpaceDE w:val="0"/>
              <w:autoSpaceDN w:val="0"/>
              <w:adjustRightInd w:val="0"/>
              <w:ind w:right="-108"/>
            </w:pPr>
            <w:r>
              <w:t>H</w:t>
            </w:r>
            <w:r w:rsidRPr="004F77A7">
              <w:rPr>
                <w:vertAlign w:val="subscript"/>
              </w:rPr>
              <w:t>i</w:t>
            </w:r>
          </w:p>
        </w:tc>
        <w:tc>
          <w:tcPr>
            <w:tcW w:w="243" w:type="dxa"/>
          </w:tcPr>
          <w:p w:rsidR="002867F4" w:rsidRDefault="00925939" w:rsidP="00C810EE">
            <w:pPr>
              <w:widowControl w:val="0"/>
              <w:autoSpaceDE w:val="0"/>
              <w:autoSpaceDN w:val="0"/>
              <w:adjustRightInd w:val="0"/>
              <w:ind w:left="-108" w:right="-111"/>
              <w:jc w:val="center"/>
            </w:pPr>
            <w:r>
              <w:t>=</w:t>
            </w:r>
          </w:p>
        </w:tc>
        <w:tc>
          <w:tcPr>
            <w:tcW w:w="7521" w:type="dxa"/>
          </w:tcPr>
          <w:p w:rsidR="002867F4" w:rsidDel="002867F4" w:rsidRDefault="002867F4" w:rsidP="00813D39">
            <w:pPr>
              <w:widowControl w:val="0"/>
              <w:autoSpaceDE w:val="0"/>
              <w:autoSpaceDN w:val="0"/>
              <w:adjustRightInd w:val="0"/>
              <w:ind w:right="-108"/>
            </w:pPr>
            <w:r>
              <w:t>(for i</w:t>
            </w:r>
            <w:r w:rsidR="00813D39">
              <w:t xml:space="preserve">  </w:t>
            </w:r>
            <w:r>
              <w:t>=</w:t>
            </w:r>
            <w:r w:rsidR="00813D39">
              <w:t xml:space="preserve"> </w:t>
            </w:r>
            <w:r>
              <w:t>1,</w:t>
            </w:r>
            <w:r w:rsidR="00925939">
              <w:t xml:space="preserve"> </w:t>
            </w:r>
            <w:r>
              <w:t>2,</w:t>
            </w:r>
            <w:r w:rsidR="00813D39">
              <w:t xml:space="preserve"> . . . ,</w:t>
            </w:r>
            <w:r>
              <w:t>n) physical height (in feet or meters) above grade of stack i.</w:t>
            </w:r>
          </w:p>
        </w:tc>
      </w:tr>
    </w:tbl>
    <w:p w:rsidR="009244CA" w:rsidRDefault="009244CA">
      <w:pPr>
        <w:pStyle w:val="JCARSourceNote"/>
        <w:ind w:left="720"/>
      </w:pPr>
    </w:p>
    <w:p w:rsidR="002867F4" w:rsidRPr="00D55B37" w:rsidRDefault="002867F4">
      <w:pPr>
        <w:pStyle w:val="JCARSourceNote"/>
        <w:ind w:left="720"/>
      </w:pPr>
      <w:r w:rsidRPr="00D55B37">
        <w:t xml:space="preserve">(Source:  </w:t>
      </w:r>
      <w:r>
        <w:t>Amended</w:t>
      </w:r>
      <w:r w:rsidRPr="00D55B37">
        <w:t xml:space="preserve"> at </w:t>
      </w:r>
      <w:r w:rsidR="00E97BF6">
        <w:t>30</w:t>
      </w:r>
      <w:r>
        <w:t xml:space="preserve"> I</w:t>
      </w:r>
      <w:r w:rsidRPr="00D55B37">
        <w:t xml:space="preserve">ll. Reg. </w:t>
      </w:r>
      <w:r w:rsidR="003F0415">
        <w:t>9671</w:t>
      </w:r>
      <w:r w:rsidRPr="00D55B37">
        <w:t xml:space="preserve">, effective </w:t>
      </w:r>
      <w:r w:rsidR="003F0415">
        <w:t>May 15, 2006</w:t>
      </w:r>
      <w:r w:rsidRPr="00D55B37">
        <w:t>)</w:t>
      </w:r>
    </w:p>
    <w:sectPr w:rsidR="002867F4" w:rsidRPr="00D55B37" w:rsidSect="00D040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40DB"/>
    <w:rsid w:val="000364A3"/>
    <w:rsid w:val="00045502"/>
    <w:rsid w:val="00146C6A"/>
    <w:rsid w:val="00177B75"/>
    <w:rsid w:val="002672A7"/>
    <w:rsid w:val="002867F4"/>
    <w:rsid w:val="00294067"/>
    <w:rsid w:val="003539DB"/>
    <w:rsid w:val="003F0415"/>
    <w:rsid w:val="003F74AF"/>
    <w:rsid w:val="00410E6C"/>
    <w:rsid w:val="004401BD"/>
    <w:rsid w:val="004F77A7"/>
    <w:rsid w:val="00502D88"/>
    <w:rsid w:val="005268ED"/>
    <w:rsid w:val="00562B84"/>
    <w:rsid w:val="00574666"/>
    <w:rsid w:val="005C3366"/>
    <w:rsid w:val="006360D5"/>
    <w:rsid w:val="006B1D70"/>
    <w:rsid w:val="006D1BD0"/>
    <w:rsid w:val="00786D0B"/>
    <w:rsid w:val="00813D39"/>
    <w:rsid w:val="0081781A"/>
    <w:rsid w:val="008B3920"/>
    <w:rsid w:val="009244CA"/>
    <w:rsid w:val="00925939"/>
    <w:rsid w:val="009564D5"/>
    <w:rsid w:val="00995BD2"/>
    <w:rsid w:val="00A400AE"/>
    <w:rsid w:val="00A77302"/>
    <w:rsid w:val="00A93194"/>
    <w:rsid w:val="00B063F6"/>
    <w:rsid w:val="00C810EE"/>
    <w:rsid w:val="00D040DB"/>
    <w:rsid w:val="00D12F28"/>
    <w:rsid w:val="00D23727"/>
    <w:rsid w:val="00D86310"/>
    <w:rsid w:val="00D87712"/>
    <w:rsid w:val="00DE14CB"/>
    <w:rsid w:val="00E90AE2"/>
    <w:rsid w:val="00E97BF6"/>
    <w:rsid w:val="00F22B88"/>
    <w:rsid w:val="00F563D3"/>
    <w:rsid w:val="00FA3E93"/>
    <w:rsid w:val="00FB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6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cp:lastPrinted>2003-03-31T12:52:00Z</cp:lastPrinted>
  <dcterms:created xsi:type="dcterms:W3CDTF">2012-06-21T19:22:00Z</dcterms:created>
  <dcterms:modified xsi:type="dcterms:W3CDTF">2012-06-21T19:22:00Z</dcterms:modified>
</cp:coreProperties>
</file>