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D1" w:rsidRDefault="008420D1" w:rsidP="00167AA7">
      <w:pPr>
        <w:widowControl w:val="0"/>
        <w:autoSpaceDE w:val="0"/>
        <w:autoSpaceDN w:val="0"/>
        <w:adjustRightInd w:val="0"/>
      </w:pPr>
      <w:bookmarkStart w:id="0" w:name="_GoBack"/>
      <w:bookmarkEnd w:id="0"/>
    </w:p>
    <w:p w:rsidR="008420D1" w:rsidRDefault="008420D1" w:rsidP="008420D1">
      <w:pPr>
        <w:widowControl w:val="0"/>
        <w:autoSpaceDE w:val="0"/>
        <w:autoSpaceDN w:val="0"/>
        <w:adjustRightInd w:val="0"/>
      </w:pPr>
      <w:r>
        <w:rPr>
          <w:b/>
          <w:bCs/>
        </w:rPr>
        <w:t>Section 215.207  Compliance by Aggregation of Emission Units</w:t>
      </w:r>
      <w:r>
        <w:t xml:space="preserve"> </w:t>
      </w:r>
    </w:p>
    <w:p w:rsidR="008420D1" w:rsidRDefault="008420D1" w:rsidP="008420D1">
      <w:pPr>
        <w:widowControl w:val="0"/>
        <w:autoSpaceDE w:val="0"/>
        <w:autoSpaceDN w:val="0"/>
        <w:adjustRightInd w:val="0"/>
      </w:pPr>
    </w:p>
    <w:p w:rsidR="008420D1" w:rsidRDefault="008420D1" w:rsidP="008420D1">
      <w:pPr>
        <w:widowControl w:val="0"/>
        <w:autoSpaceDE w:val="0"/>
        <w:autoSpaceDN w:val="0"/>
        <w:adjustRightInd w:val="0"/>
        <w:ind w:left="1440" w:hanging="720"/>
      </w:pPr>
      <w:r>
        <w:t>a)</w:t>
      </w:r>
      <w:r>
        <w:tab/>
        <w:t xml:space="preserve">Owners or operators of coating lines subject to Section 215.204 may comply with this Section rather than with Section 215.204.  The methods or procedures used to determine emissions of volatile organic material under this Section shall be approved by the Agency in accordance with 35 Ill. Adm. 201.  Emissions of volatile organic material form sources subject to Section 215.204 are allowable, notwithstanding the limitations in Section 215.204, if the combined actual emissions from selected coating lines at the coating plant, but not including coating lines or other emission sources constructed or modified after July 1, 1979, is less than or equal to the combined allowable emissions as determined by the following equations: </w:t>
      </w:r>
    </w:p>
    <w:p w:rsidR="008420D1" w:rsidRDefault="008420D1" w:rsidP="008420D1">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741"/>
        <w:gridCol w:w="236"/>
        <w:gridCol w:w="448"/>
        <w:gridCol w:w="456"/>
        <w:gridCol w:w="6099"/>
      </w:tblGrid>
      <w:tr w:rsidR="0088065B">
        <w:tblPrEx>
          <w:tblCellMar>
            <w:top w:w="0" w:type="dxa"/>
            <w:bottom w:w="0" w:type="dxa"/>
          </w:tblCellMar>
        </w:tblPrEx>
        <w:trPr>
          <w:trHeight w:val="210"/>
        </w:trPr>
        <w:tc>
          <w:tcPr>
            <w:tcW w:w="741" w:type="dxa"/>
            <w:vMerge w:val="restart"/>
            <w:vAlign w:val="center"/>
          </w:tcPr>
          <w:p w:rsidR="0088065B" w:rsidRPr="0088065B" w:rsidRDefault="0088065B" w:rsidP="008420D1">
            <w:pPr>
              <w:widowControl w:val="0"/>
              <w:autoSpaceDE w:val="0"/>
              <w:autoSpaceDN w:val="0"/>
              <w:adjustRightInd w:val="0"/>
              <w:rPr>
                <w:i/>
                <w:iCs/>
              </w:rPr>
            </w:pPr>
            <w:r w:rsidRPr="0088065B">
              <w:rPr>
                <w:i/>
                <w:iCs/>
              </w:rPr>
              <w:t>E</w:t>
            </w:r>
            <w:r w:rsidRPr="0088065B">
              <w:rPr>
                <w:i/>
                <w:iCs/>
                <w:vertAlign w:val="subscript"/>
              </w:rPr>
              <w:t>ALL</w:t>
            </w:r>
          </w:p>
        </w:tc>
        <w:tc>
          <w:tcPr>
            <w:tcW w:w="236" w:type="dxa"/>
            <w:vMerge w:val="restart"/>
            <w:vAlign w:val="center"/>
          </w:tcPr>
          <w:p w:rsidR="0088065B" w:rsidRDefault="0088065B" w:rsidP="0088065B">
            <w:pPr>
              <w:widowControl w:val="0"/>
              <w:autoSpaceDE w:val="0"/>
              <w:autoSpaceDN w:val="0"/>
              <w:adjustRightInd w:val="0"/>
              <w:ind w:left="-108" w:right="-108"/>
              <w:jc w:val="center"/>
            </w:pPr>
            <w:r>
              <w:t>=</w:t>
            </w:r>
          </w:p>
        </w:tc>
        <w:tc>
          <w:tcPr>
            <w:tcW w:w="448" w:type="dxa"/>
          </w:tcPr>
          <w:p w:rsidR="0088065B" w:rsidRPr="0088065B" w:rsidRDefault="0088065B" w:rsidP="008420D1">
            <w:pPr>
              <w:widowControl w:val="0"/>
              <w:autoSpaceDE w:val="0"/>
              <w:autoSpaceDN w:val="0"/>
              <w:adjustRightInd w:val="0"/>
              <w:rPr>
                <w:i/>
                <w:iCs/>
                <w:vertAlign w:val="subscript"/>
              </w:rPr>
            </w:pPr>
            <w:r w:rsidRPr="0088065B">
              <w:rPr>
                <w:i/>
                <w:iCs/>
                <w:vertAlign w:val="subscript"/>
              </w:rPr>
              <w:t>m</w:t>
            </w:r>
          </w:p>
        </w:tc>
        <w:tc>
          <w:tcPr>
            <w:tcW w:w="456" w:type="dxa"/>
          </w:tcPr>
          <w:p w:rsidR="0088065B" w:rsidRPr="0088065B" w:rsidRDefault="0088065B" w:rsidP="00834109">
            <w:pPr>
              <w:widowControl w:val="0"/>
              <w:autoSpaceDE w:val="0"/>
              <w:autoSpaceDN w:val="0"/>
              <w:adjustRightInd w:val="0"/>
              <w:rPr>
                <w:i/>
                <w:iCs/>
                <w:vertAlign w:val="subscript"/>
              </w:rPr>
            </w:pPr>
            <w:r w:rsidRPr="0088065B">
              <w:rPr>
                <w:i/>
                <w:iCs/>
                <w:vertAlign w:val="subscript"/>
              </w:rPr>
              <w:t>n</w:t>
            </w:r>
          </w:p>
        </w:tc>
        <w:tc>
          <w:tcPr>
            <w:tcW w:w="6099" w:type="dxa"/>
            <w:vMerge w:val="restart"/>
            <w:vAlign w:val="center"/>
          </w:tcPr>
          <w:p w:rsidR="0088065B" w:rsidRPr="00304733" w:rsidRDefault="0088065B" w:rsidP="0088065B">
            <w:pPr>
              <w:widowControl w:val="0"/>
              <w:autoSpaceDE w:val="0"/>
              <w:autoSpaceDN w:val="0"/>
              <w:adjustRightInd w:val="0"/>
              <w:ind w:left="-108"/>
              <w:rPr>
                <w:vertAlign w:val="subscript"/>
              </w:rPr>
            </w:pPr>
            <w:r>
              <w:t>(</w:t>
            </w:r>
            <w:proofErr w:type="spellStart"/>
            <w:r w:rsidRPr="0088065B">
              <w:rPr>
                <w:i/>
                <w:iCs/>
              </w:rPr>
              <w:t>A</w:t>
            </w:r>
            <w:r w:rsidRPr="0088065B">
              <w:rPr>
                <w:i/>
                <w:iCs/>
                <w:vertAlign w:val="subscript"/>
              </w:rPr>
              <w:t>i</w:t>
            </w:r>
            <w:r w:rsidRPr="0088065B">
              <w:rPr>
                <w:i/>
                <w:iCs/>
              </w:rPr>
              <w:t>B</w:t>
            </w:r>
            <w:r w:rsidRPr="0088065B">
              <w:rPr>
                <w:i/>
                <w:iCs/>
                <w:vertAlign w:val="subscript"/>
              </w:rPr>
              <w:t>i</w:t>
            </w:r>
            <w:proofErr w:type="spellEnd"/>
            <w:r>
              <w:t>)</w:t>
            </w:r>
            <w:r w:rsidRPr="0088065B">
              <w:rPr>
                <w:i/>
                <w:iCs/>
                <w:vertAlign w:val="subscript"/>
              </w:rPr>
              <w:t>j</w:t>
            </w:r>
          </w:p>
        </w:tc>
      </w:tr>
      <w:tr w:rsidR="0088065B">
        <w:tblPrEx>
          <w:tblCellMar>
            <w:top w:w="0" w:type="dxa"/>
            <w:bottom w:w="0" w:type="dxa"/>
          </w:tblCellMar>
        </w:tblPrEx>
        <w:trPr>
          <w:trHeight w:val="300"/>
        </w:trPr>
        <w:tc>
          <w:tcPr>
            <w:tcW w:w="741" w:type="dxa"/>
            <w:vMerge/>
          </w:tcPr>
          <w:p w:rsidR="0088065B" w:rsidRDefault="0088065B" w:rsidP="008420D1">
            <w:pPr>
              <w:widowControl w:val="0"/>
              <w:autoSpaceDE w:val="0"/>
              <w:autoSpaceDN w:val="0"/>
              <w:adjustRightInd w:val="0"/>
            </w:pPr>
          </w:p>
        </w:tc>
        <w:tc>
          <w:tcPr>
            <w:tcW w:w="236" w:type="dxa"/>
            <w:vMerge/>
          </w:tcPr>
          <w:p w:rsidR="0088065B" w:rsidRDefault="0088065B" w:rsidP="0088065B">
            <w:pPr>
              <w:widowControl w:val="0"/>
              <w:autoSpaceDE w:val="0"/>
              <w:autoSpaceDN w:val="0"/>
              <w:adjustRightInd w:val="0"/>
              <w:ind w:left="-108" w:right="-108"/>
              <w:jc w:val="center"/>
            </w:pPr>
          </w:p>
        </w:tc>
        <w:tc>
          <w:tcPr>
            <w:tcW w:w="448" w:type="dxa"/>
            <w:vAlign w:val="bottom"/>
          </w:tcPr>
          <w:p w:rsidR="0088065B" w:rsidRPr="00304733" w:rsidRDefault="0088065B" w:rsidP="008420D1">
            <w:pPr>
              <w:widowControl w:val="0"/>
              <w:autoSpaceDE w:val="0"/>
              <w:autoSpaceDN w:val="0"/>
              <w:adjustRightInd w:val="0"/>
              <w:rPr>
                <w:vertAlign w:val="subscript"/>
              </w:rPr>
            </w:pPr>
            <w:r>
              <w:t>Σ</w:t>
            </w:r>
          </w:p>
        </w:tc>
        <w:tc>
          <w:tcPr>
            <w:tcW w:w="456" w:type="dxa"/>
            <w:vAlign w:val="bottom"/>
          </w:tcPr>
          <w:p w:rsidR="0088065B" w:rsidRPr="00304733" w:rsidRDefault="0088065B" w:rsidP="00834109">
            <w:pPr>
              <w:widowControl w:val="0"/>
              <w:autoSpaceDE w:val="0"/>
              <w:autoSpaceDN w:val="0"/>
              <w:adjustRightInd w:val="0"/>
              <w:rPr>
                <w:vertAlign w:val="subscript"/>
              </w:rPr>
            </w:pPr>
            <w:r>
              <w:t>Σ</w:t>
            </w:r>
          </w:p>
        </w:tc>
        <w:tc>
          <w:tcPr>
            <w:tcW w:w="6099" w:type="dxa"/>
            <w:vMerge/>
          </w:tcPr>
          <w:p w:rsidR="0088065B" w:rsidRDefault="0088065B" w:rsidP="007D20E6">
            <w:pPr>
              <w:widowControl w:val="0"/>
              <w:autoSpaceDE w:val="0"/>
              <w:autoSpaceDN w:val="0"/>
              <w:adjustRightInd w:val="0"/>
              <w:rPr>
                <w:vertAlign w:val="subscript"/>
              </w:rPr>
            </w:pPr>
          </w:p>
        </w:tc>
      </w:tr>
      <w:tr w:rsidR="0088065B">
        <w:tblPrEx>
          <w:tblCellMar>
            <w:top w:w="0" w:type="dxa"/>
            <w:bottom w:w="0" w:type="dxa"/>
          </w:tblCellMar>
        </w:tblPrEx>
        <w:trPr>
          <w:trHeight w:val="275"/>
        </w:trPr>
        <w:tc>
          <w:tcPr>
            <w:tcW w:w="741" w:type="dxa"/>
            <w:vMerge/>
          </w:tcPr>
          <w:p w:rsidR="0088065B" w:rsidRDefault="0088065B" w:rsidP="008420D1">
            <w:pPr>
              <w:widowControl w:val="0"/>
              <w:autoSpaceDE w:val="0"/>
              <w:autoSpaceDN w:val="0"/>
              <w:adjustRightInd w:val="0"/>
            </w:pPr>
          </w:p>
        </w:tc>
        <w:tc>
          <w:tcPr>
            <w:tcW w:w="236" w:type="dxa"/>
            <w:vMerge/>
          </w:tcPr>
          <w:p w:rsidR="0088065B" w:rsidRDefault="0088065B" w:rsidP="0088065B">
            <w:pPr>
              <w:widowControl w:val="0"/>
              <w:autoSpaceDE w:val="0"/>
              <w:autoSpaceDN w:val="0"/>
              <w:adjustRightInd w:val="0"/>
              <w:ind w:left="-108" w:right="-108"/>
              <w:jc w:val="center"/>
            </w:pPr>
          </w:p>
        </w:tc>
        <w:tc>
          <w:tcPr>
            <w:tcW w:w="448" w:type="dxa"/>
          </w:tcPr>
          <w:p w:rsidR="0088065B" w:rsidRPr="0088065B" w:rsidRDefault="0088065B" w:rsidP="008420D1">
            <w:pPr>
              <w:widowControl w:val="0"/>
              <w:autoSpaceDE w:val="0"/>
              <w:autoSpaceDN w:val="0"/>
              <w:adjustRightInd w:val="0"/>
              <w:rPr>
                <w:vertAlign w:val="superscript"/>
              </w:rPr>
            </w:pPr>
            <w:r w:rsidRPr="0088065B">
              <w:rPr>
                <w:i/>
                <w:iCs/>
                <w:vertAlign w:val="superscript"/>
              </w:rPr>
              <w:t>j</w:t>
            </w:r>
            <w:r w:rsidRPr="0088065B">
              <w:rPr>
                <w:vertAlign w:val="superscript"/>
              </w:rPr>
              <w:t>=1</w:t>
            </w:r>
          </w:p>
        </w:tc>
        <w:tc>
          <w:tcPr>
            <w:tcW w:w="456" w:type="dxa"/>
          </w:tcPr>
          <w:p w:rsidR="0088065B" w:rsidRPr="0088065B" w:rsidRDefault="0088065B" w:rsidP="00834109">
            <w:pPr>
              <w:widowControl w:val="0"/>
              <w:autoSpaceDE w:val="0"/>
              <w:autoSpaceDN w:val="0"/>
              <w:adjustRightInd w:val="0"/>
              <w:rPr>
                <w:vertAlign w:val="superscript"/>
              </w:rPr>
            </w:pPr>
            <w:proofErr w:type="spellStart"/>
            <w:r w:rsidRPr="0088065B">
              <w:rPr>
                <w:i/>
                <w:iCs/>
                <w:vertAlign w:val="superscript"/>
              </w:rPr>
              <w:t>i</w:t>
            </w:r>
            <w:proofErr w:type="spellEnd"/>
            <w:r w:rsidRPr="0088065B">
              <w:rPr>
                <w:vertAlign w:val="superscript"/>
              </w:rPr>
              <w:t>=1</w:t>
            </w:r>
          </w:p>
        </w:tc>
        <w:tc>
          <w:tcPr>
            <w:tcW w:w="6099" w:type="dxa"/>
            <w:vMerge/>
          </w:tcPr>
          <w:p w:rsidR="0088065B" w:rsidRDefault="0088065B" w:rsidP="007D20E6">
            <w:pPr>
              <w:widowControl w:val="0"/>
              <w:autoSpaceDE w:val="0"/>
              <w:autoSpaceDN w:val="0"/>
              <w:adjustRightInd w:val="0"/>
              <w:rPr>
                <w:vertAlign w:val="subscript"/>
              </w:rPr>
            </w:pPr>
          </w:p>
        </w:tc>
      </w:tr>
    </w:tbl>
    <w:p w:rsidR="0088065B" w:rsidRDefault="0088065B"/>
    <w:tbl>
      <w:tblPr>
        <w:tblW w:w="0" w:type="auto"/>
        <w:tblInd w:w="1533" w:type="dxa"/>
        <w:tblLook w:val="0000" w:firstRow="0" w:lastRow="0" w:firstColumn="0" w:lastColumn="0" w:noHBand="0" w:noVBand="0"/>
      </w:tblPr>
      <w:tblGrid>
        <w:gridCol w:w="741"/>
        <w:gridCol w:w="236"/>
        <w:gridCol w:w="448"/>
        <w:gridCol w:w="456"/>
        <w:gridCol w:w="6099"/>
      </w:tblGrid>
      <w:tr w:rsidR="0088065B">
        <w:tblPrEx>
          <w:tblCellMar>
            <w:top w:w="0" w:type="dxa"/>
            <w:bottom w:w="0" w:type="dxa"/>
          </w:tblCellMar>
        </w:tblPrEx>
        <w:trPr>
          <w:trHeight w:val="210"/>
        </w:trPr>
        <w:tc>
          <w:tcPr>
            <w:tcW w:w="741" w:type="dxa"/>
            <w:vMerge w:val="restart"/>
            <w:vAlign w:val="center"/>
          </w:tcPr>
          <w:p w:rsidR="0088065B" w:rsidRPr="0088065B" w:rsidRDefault="0088065B" w:rsidP="00834109">
            <w:pPr>
              <w:widowControl w:val="0"/>
              <w:autoSpaceDE w:val="0"/>
              <w:autoSpaceDN w:val="0"/>
              <w:adjustRightInd w:val="0"/>
              <w:rPr>
                <w:i/>
                <w:iCs/>
              </w:rPr>
            </w:pPr>
            <w:r w:rsidRPr="0088065B">
              <w:rPr>
                <w:i/>
                <w:iCs/>
              </w:rPr>
              <w:t>E</w:t>
            </w:r>
            <w:r>
              <w:rPr>
                <w:i/>
                <w:iCs/>
                <w:vertAlign w:val="subscript"/>
              </w:rPr>
              <w:t>ACT</w:t>
            </w:r>
          </w:p>
        </w:tc>
        <w:tc>
          <w:tcPr>
            <w:tcW w:w="236" w:type="dxa"/>
            <w:vMerge w:val="restart"/>
            <w:vAlign w:val="center"/>
          </w:tcPr>
          <w:p w:rsidR="0088065B" w:rsidRDefault="0088065B" w:rsidP="00834109">
            <w:pPr>
              <w:widowControl w:val="0"/>
              <w:autoSpaceDE w:val="0"/>
              <w:autoSpaceDN w:val="0"/>
              <w:adjustRightInd w:val="0"/>
              <w:ind w:left="-108" w:right="-108"/>
              <w:jc w:val="center"/>
            </w:pPr>
            <w:r>
              <w:t>=</w:t>
            </w:r>
          </w:p>
        </w:tc>
        <w:tc>
          <w:tcPr>
            <w:tcW w:w="448" w:type="dxa"/>
          </w:tcPr>
          <w:p w:rsidR="0088065B" w:rsidRPr="0088065B" w:rsidRDefault="0088065B" w:rsidP="00834109">
            <w:pPr>
              <w:widowControl w:val="0"/>
              <w:autoSpaceDE w:val="0"/>
              <w:autoSpaceDN w:val="0"/>
              <w:adjustRightInd w:val="0"/>
              <w:rPr>
                <w:i/>
                <w:iCs/>
                <w:vertAlign w:val="subscript"/>
              </w:rPr>
            </w:pPr>
            <w:r w:rsidRPr="0088065B">
              <w:rPr>
                <w:i/>
                <w:iCs/>
                <w:vertAlign w:val="subscript"/>
              </w:rPr>
              <w:t>m</w:t>
            </w:r>
          </w:p>
        </w:tc>
        <w:tc>
          <w:tcPr>
            <w:tcW w:w="456" w:type="dxa"/>
          </w:tcPr>
          <w:p w:rsidR="0088065B" w:rsidRPr="0088065B" w:rsidRDefault="0088065B" w:rsidP="00834109">
            <w:pPr>
              <w:widowControl w:val="0"/>
              <w:autoSpaceDE w:val="0"/>
              <w:autoSpaceDN w:val="0"/>
              <w:adjustRightInd w:val="0"/>
              <w:rPr>
                <w:i/>
                <w:iCs/>
                <w:vertAlign w:val="subscript"/>
              </w:rPr>
            </w:pPr>
            <w:r w:rsidRPr="0088065B">
              <w:rPr>
                <w:i/>
                <w:iCs/>
                <w:vertAlign w:val="subscript"/>
              </w:rPr>
              <w:t>n</w:t>
            </w:r>
          </w:p>
        </w:tc>
        <w:tc>
          <w:tcPr>
            <w:tcW w:w="6099" w:type="dxa"/>
            <w:vMerge w:val="restart"/>
            <w:vAlign w:val="center"/>
          </w:tcPr>
          <w:p w:rsidR="0088065B" w:rsidRPr="00304733" w:rsidRDefault="0088065B" w:rsidP="00834109">
            <w:pPr>
              <w:widowControl w:val="0"/>
              <w:autoSpaceDE w:val="0"/>
              <w:autoSpaceDN w:val="0"/>
              <w:adjustRightInd w:val="0"/>
              <w:ind w:left="-108"/>
              <w:rPr>
                <w:vertAlign w:val="subscript"/>
              </w:rPr>
            </w:pPr>
            <w:r>
              <w:t>(</w:t>
            </w:r>
            <w:proofErr w:type="spellStart"/>
            <w:r>
              <w:rPr>
                <w:i/>
                <w:iCs/>
              </w:rPr>
              <w:t>C</w:t>
            </w:r>
            <w:r w:rsidRPr="0088065B">
              <w:rPr>
                <w:i/>
                <w:iCs/>
                <w:vertAlign w:val="subscript"/>
              </w:rPr>
              <w:t>i</w:t>
            </w:r>
            <w:r w:rsidRPr="0088065B">
              <w:rPr>
                <w:i/>
                <w:iCs/>
              </w:rPr>
              <w:t>B</w:t>
            </w:r>
            <w:r w:rsidRPr="0088065B">
              <w:rPr>
                <w:i/>
                <w:iCs/>
                <w:vertAlign w:val="subscript"/>
              </w:rPr>
              <w:t>i</w:t>
            </w:r>
            <w:proofErr w:type="spellEnd"/>
            <w:r w:rsidRPr="0088065B">
              <w:t>(</w:t>
            </w:r>
            <w:r>
              <w:rPr>
                <w:i/>
                <w:iCs/>
              </w:rPr>
              <w:t>1-D</w:t>
            </w:r>
            <w:r>
              <w:rPr>
                <w:i/>
                <w:iCs/>
                <w:vertAlign w:val="subscript"/>
              </w:rPr>
              <w:t>i</w:t>
            </w:r>
            <w:r w:rsidRPr="0088065B">
              <w:t>)</w:t>
            </w:r>
            <w:r>
              <w:t>)</w:t>
            </w:r>
            <w:r w:rsidRPr="0088065B">
              <w:rPr>
                <w:i/>
                <w:iCs/>
                <w:vertAlign w:val="subscript"/>
              </w:rPr>
              <w:t>j</w:t>
            </w:r>
          </w:p>
        </w:tc>
      </w:tr>
      <w:tr w:rsidR="0088065B">
        <w:tblPrEx>
          <w:tblCellMar>
            <w:top w:w="0" w:type="dxa"/>
            <w:bottom w:w="0" w:type="dxa"/>
          </w:tblCellMar>
        </w:tblPrEx>
        <w:trPr>
          <w:trHeight w:val="300"/>
        </w:trPr>
        <w:tc>
          <w:tcPr>
            <w:tcW w:w="741" w:type="dxa"/>
            <w:vMerge/>
          </w:tcPr>
          <w:p w:rsidR="0088065B" w:rsidRDefault="0088065B" w:rsidP="00834109">
            <w:pPr>
              <w:widowControl w:val="0"/>
              <w:autoSpaceDE w:val="0"/>
              <w:autoSpaceDN w:val="0"/>
              <w:adjustRightInd w:val="0"/>
            </w:pPr>
          </w:p>
        </w:tc>
        <w:tc>
          <w:tcPr>
            <w:tcW w:w="236" w:type="dxa"/>
            <w:vMerge/>
          </w:tcPr>
          <w:p w:rsidR="0088065B" w:rsidRDefault="0088065B" w:rsidP="00834109">
            <w:pPr>
              <w:widowControl w:val="0"/>
              <w:autoSpaceDE w:val="0"/>
              <w:autoSpaceDN w:val="0"/>
              <w:adjustRightInd w:val="0"/>
              <w:ind w:left="-108" w:right="-108"/>
              <w:jc w:val="center"/>
            </w:pPr>
          </w:p>
        </w:tc>
        <w:tc>
          <w:tcPr>
            <w:tcW w:w="448" w:type="dxa"/>
            <w:vAlign w:val="bottom"/>
          </w:tcPr>
          <w:p w:rsidR="0088065B" w:rsidRPr="00304733" w:rsidRDefault="0088065B" w:rsidP="00834109">
            <w:pPr>
              <w:widowControl w:val="0"/>
              <w:autoSpaceDE w:val="0"/>
              <w:autoSpaceDN w:val="0"/>
              <w:adjustRightInd w:val="0"/>
              <w:rPr>
                <w:vertAlign w:val="subscript"/>
              </w:rPr>
            </w:pPr>
            <w:r>
              <w:t>Σ</w:t>
            </w:r>
          </w:p>
        </w:tc>
        <w:tc>
          <w:tcPr>
            <w:tcW w:w="456" w:type="dxa"/>
            <w:vAlign w:val="bottom"/>
          </w:tcPr>
          <w:p w:rsidR="0088065B" w:rsidRPr="00304733" w:rsidRDefault="0088065B" w:rsidP="00834109">
            <w:pPr>
              <w:widowControl w:val="0"/>
              <w:autoSpaceDE w:val="0"/>
              <w:autoSpaceDN w:val="0"/>
              <w:adjustRightInd w:val="0"/>
              <w:rPr>
                <w:vertAlign w:val="subscript"/>
              </w:rPr>
            </w:pPr>
            <w:r>
              <w:t>Σ</w:t>
            </w:r>
          </w:p>
        </w:tc>
        <w:tc>
          <w:tcPr>
            <w:tcW w:w="6099" w:type="dxa"/>
            <w:vMerge/>
          </w:tcPr>
          <w:p w:rsidR="0088065B" w:rsidRDefault="0088065B" w:rsidP="00834109">
            <w:pPr>
              <w:widowControl w:val="0"/>
              <w:autoSpaceDE w:val="0"/>
              <w:autoSpaceDN w:val="0"/>
              <w:adjustRightInd w:val="0"/>
              <w:rPr>
                <w:vertAlign w:val="subscript"/>
              </w:rPr>
            </w:pPr>
          </w:p>
        </w:tc>
      </w:tr>
      <w:tr w:rsidR="0088065B">
        <w:tblPrEx>
          <w:tblCellMar>
            <w:top w:w="0" w:type="dxa"/>
            <w:bottom w:w="0" w:type="dxa"/>
          </w:tblCellMar>
        </w:tblPrEx>
        <w:trPr>
          <w:trHeight w:val="275"/>
        </w:trPr>
        <w:tc>
          <w:tcPr>
            <w:tcW w:w="741" w:type="dxa"/>
            <w:vMerge/>
          </w:tcPr>
          <w:p w:rsidR="0088065B" w:rsidRDefault="0088065B" w:rsidP="00834109">
            <w:pPr>
              <w:widowControl w:val="0"/>
              <w:autoSpaceDE w:val="0"/>
              <w:autoSpaceDN w:val="0"/>
              <w:adjustRightInd w:val="0"/>
            </w:pPr>
          </w:p>
        </w:tc>
        <w:tc>
          <w:tcPr>
            <w:tcW w:w="236" w:type="dxa"/>
            <w:vMerge/>
          </w:tcPr>
          <w:p w:rsidR="0088065B" w:rsidRDefault="0088065B" w:rsidP="00834109">
            <w:pPr>
              <w:widowControl w:val="0"/>
              <w:autoSpaceDE w:val="0"/>
              <w:autoSpaceDN w:val="0"/>
              <w:adjustRightInd w:val="0"/>
              <w:ind w:left="-108" w:right="-108"/>
              <w:jc w:val="center"/>
            </w:pPr>
          </w:p>
        </w:tc>
        <w:tc>
          <w:tcPr>
            <w:tcW w:w="448" w:type="dxa"/>
          </w:tcPr>
          <w:p w:rsidR="0088065B" w:rsidRPr="0088065B" w:rsidRDefault="0088065B" w:rsidP="00834109">
            <w:pPr>
              <w:widowControl w:val="0"/>
              <w:autoSpaceDE w:val="0"/>
              <w:autoSpaceDN w:val="0"/>
              <w:adjustRightInd w:val="0"/>
              <w:rPr>
                <w:vertAlign w:val="superscript"/>
              </w:rPr>
            </w:pPr>
            <w:r w:rsidRPr="0088065B">
              <w:rPr>
                <w:i/>
                <w:iCs/>
                <w:vertAlign w:val="superscript"/>
              </w:rPr>
              <w:t>j</w:t>
            </w:r>
            <w:r w:rsidRPr="0088065B">
              <w:rPr>
                <w:vertAlign w:val="superscript"/>
              </w:rPr>
              <w:t>=1</w:t>
            </w:r>
          </w:p>
        </w:tc>
        <w:tc>
          <w:tcPr>
            <w:tcW w:w="456" w:type="dxa"/>
          </w:tcPr>
          <w:p w:rsidR="0088065B" w:rsidRPr="0088065B" w:rsidRDefault="0088065B" w:rsidP="00834109">
            <w:pPr>
              <w:widowControl w:val="0"/>
              <w:autoSpaceDE w:val="0"/>
              <w:autoSpaceDN w:val="0"/>
              <w:adjustRightInd w:val="0"/>
              <w:rPr>
                <w:vertAlign w:val="superscript"/>
              </w:rPr>
            </w:pPr>
            <w:proofErr w:type="spellStart"/>
            <w:r w:rsidRPr="0088065B">
              <w:rPr>
                <w:i/>
                <w:iCs/>
                <w:vertAlign w:val="superscript"/>
              </w:rPr>
              <w:t>i</w:t>
            </w:r>
            <w:proofErr w:type="spellEnd"/>
            <w:r w:rsidRPr="0088065B">
              <w:rPr>
                <w:vertAlign w:val="superscript"/>
              </w:rPr>
              <w:t>=1</w:t>
            </w:r>
          </w:p>
        </w:tc>
        <w:tc>
          <w:tcPr>
            <w:tcW w:w="6099" w:type="dxa"/>
            <w:vMerge/>
          </w:tcPr>
          <w:p w:rsidR="0088065B" w:rsidRDefault="0088065B" w:rsidP="00834109">
            <w:pPr>
              <w:widowControl w:val="0"/>
              <w:autoSpaceDE w:val="0"/>
              <w:autoSpaceDN w:val="0"/>
              <w:adjustRightInd w:val="0"/>
              <w:rPr>
                <w:vertAlign w:val="subscript"/>
              </w:rPr>
            </w:pPr>
          </w:p>
        </w:tc>
      </w:tr>
    </w:tbl>
    <w:p w:rsidR="0088065B" w:rsidRDefault="0088065B"/>
    <w:p w:rsidR="008420D1" w:rsidRDefault="008420D1" w:rsidP="008420D1">
      <w:pPr>
        <w:widowControl w:val="0"/>
        <w:autoSpaceDE w:val="0"/>
        <w:autoSpaceDN w:val="0"/>
        <w:adjustRightInd w:val="0"/>
        <w:ind w:left="1440" w:hanging="720"/>
      </w:pPr>
      <w:r>
        <w:t>b)</w:t>
      </w:r>
      <w:r>
        <w:tab/>
        <w:t>A</w:t>
      </w:r>
      <w:r w:rsidRPr="001C05A1">
        <w:rPr>
          <w:vertAlign w:val="subscript"/>
        </w:rPr>
        <w:t>i</w:t>
      </w:r>
      <w:r>
        <w:t xml:space="preserve"> shall be determined by the following formula:   </w:t>
      </w:r>
    </w:p>
    <w:p w:rsidR="008420D1" w:rsidRPr="00304733" w:rsidRDefault="008420D1" w:rsidP="008420D1">
      <w:pPr>
        <w:widowControl w:val="0"/>
        <w:autoSpaceDE w:val="0"/>
        <w:autoSpaceDN w:val="0"/>
        <w:adjustRightInd w:val="0"/>
        <w:ind w:left="1440" w:hanging="720"/>
        <w:rPr>
          <w:vertAlign w:val="subscript"/>
        </w:rPr>
      </w:pPr>
    </w:p>
    <w:tbl>
      <w:tblPr>
        <w:tblW w:w="0" w:type="auto"/>
        <w:tblInd w:w="2331" w:type="dxa"/>
        <w:tblLayout w:type="fixed"/>
        <w:tblLook w:val="0000" w:firstRow="0" w:lastRow="0" w:firstColumn="0" w:lastColumn="0" w:noHBand="0" w:noVBand="0"/>
      </w:tblPr>
      <w:tblGrid>
        <w:gridCol w:w="456"/>
        <w:gridCol w:w="285"/>
        <w:gridCol w:w="285"/>
        <w:gridCol w:w="293"/>
      </w:tblGrid>
      <w:tr w:rsidR="009644A2" w:rsidRPr="00304733">
        <w:tblPrEx>
          <w:tblCellMar>
            <w:top w:w="0" w:type="dxa"/>
            <w:bottom w:w="0" w:type="dxa"/>
          </w:tblCellMar>
        </w:tblPrEx>
        <w:tc>
          <w:tcPr>
            <w:tcW w:w="456" w:type="dxa"/>
            <w:vMerge w:val="restart"/>
            <w:vAlign w:val="center"/>
          </w:tcPr>
          <w:p w:rsidR="009644A2" w:rsidRPr="004B57D6" w:rsidRDefault="009644A2" w:rsidP="002666FE">
            <w:pPr>
              <w:widowControl w:val="0"/>
              <w:autoSpaceDE w:val="0"/>
              <w:autoSpaceDN w:val="0"/>
              <w:adjustRightInd w:val="0"/>
              <w:rPr>
                <w:i/>
                <w:iCs/>
                <w:vertAlign w:val="subscript"/>
              </w:rPr>
            </w:pPr>
            <w:r w:rsidRPr="004B57D6">
              <w:rPr>
                <w:i/>
                <w:iCs/>
              </w:rPr>
              <w:t>A</w:t>
            </w:r>
            <w:r w:rsidRPr="004B57D6">
              <w:rPr>
                <w:i/>
                <w:iCs/>
                <w:vertAlign w:val="subscript"/>
              </w:rPr>
              <w:t>i</w:t>
            </w:r>
          </w:p>
        </w:tc>
        <w:tc>
          <w:tcPr>
            <w:tcW w:w="285" w:type="dxa"/>
            <w:vMerge w:val="restart"/>
            <w:vAlign w:val="center"/>
          </w:tcPr>
          <w:p w:rsidR="009644A2" w:rsidRPr="00304733" w:rsidRDefault="009644A2" w:rsidP="009644A2">
            <w:pPr>
              <w:widowControl w:val="0"/>
              <w:autoSpaceDE w:val="0"/>
              <w:autoSpaceDN w:val="0"/>
              <w:adjustRightInd w:val="0"/>
              <w:ind w:left="-102" w:right="-114"/>
              <w:rPr>
                <w:u w:val="single"/>
              </w:rPr>
            </w:pPr>
            <w:r w:rsidRPr="00304733">
              <w:t>=</w:t>
            </w:r>
          </w:p>
        </w:tc>
        <w:tc>
          <w:tcPr>
            <w:tcW w:w="578" w:type="dxa"/>
            <w:gridSpan w:val="2"/>
            <w:tcBorders>
              <w:bottom w:val="single" w:sz="4" w:space="0" w:color="auto"/>
            </w:tcBorders>
          </w:tcPr>
          <w:p w:rsidR="009644A2" w:rsidRPr="004B57D6" w:rsidRDefault="009644A2" w:rsidP="004B57D6">
            <w:pPr>
              <w:widowControl w:val="0"/>
              <w:autoSpaceDE w:val="0"/>
              <w:autoSpaceDN w:val="0"/>
              <w:adjustRightInd w:val="0"/>
              <w:jc w:val="center"/>
              <w:rPr>
                <w:i/>
                <w:iCs/>
              </w:rPr>
            </w:pPr>
            <w:proofErr w:type="spellStart"/>
            <w:r w:rsidRPr="004B57D6">
              <w:rPr>
                <w:i/>
                <w:iCs/>
              </w:rPr>
              <w:t>R</w:t>
            </w:r>
            <w:r w:rsidRPr="004B57D6">
              <w:rPr>
                <w:i/>
                <w:iCs/>
                <w:vertAlign w:val="subscript"/>
              </w:rPr>
              <w:t>i</w:t>
            </w:r>
            <w:proofErr w:type="spellEnd"/>
          </w:p>
        </w:tc>
      </w:tr>
      <w:tr w:rsidR="009644A2" w:rsidRPr="00304733">
        <w:tblPrEx>
          <w:tblCellMar>
            <w:top w:w="0" w:type="dxa"/>
            <w:bottom w:w="0" w:type="dxa"/>
          </w:tblCellMar>
        </w:tblPrEx>
        <w:tc>
          <w:tcPr>
            <w:tcW w:w="456" w:type="dxa"/>
            <w:vMerge/>
          </w:tcPr>
          <w:p w:rsidR="009644A2" w:rsidRPr="00304733" w:rsidRDefault="009644A2" w:rsidP="002666FE">
            <w:pPr>
              <w:widowControl w:val="0"/>
              <w:autoSpaceDE w:val="0"/>
              <w:autoSpaceDN w:val="0"/>
              <w:adjustRightInd w:val="0"/>
            </w:pPr>
          </w:p>
        </w:tc>
        <w:tc>
          <w:tcPr>
            <w:tcW w:w="285" w:type="dxa"/>
            <w:vMerge/>
          </w:tcPr>
          <w:p w:rsidR="009644A2" w:rsidRPr="00304733" w:rsidRDefault="009644A2" w:rsidP="002666FE">
            <w:pPr>
              <w:widowControl w:val="0"/>
              <w:autoSpaceDE w:val="0"/>
              <w:autoSpaceDN w:val="0"/>
              <w:adjustRightInd w:val="0"/>
            </w:pPr>
          </w:p>
        </w:tc>
        <w:tc>
          <w:tcPr>
            <w:tcW w:w="285" w:type="dxa"/>
            <w:vMerge w:val="restart"/>
            <w:vAlign w:val="center"/>
          </w:tcPr>
          <w:p w:rsidR="009644A2" w:rsidRPr="00304733" w:rsidRDefault="009644A2" w:rsidP="004B57D6">
            <w:pPr>
              <w:widowControl w:val="0"/>
              <w:autoSpaceDE w:val="0"/>
              <w:autoSpaceDN w:val="0"/>
              <w:adjustRightInd w:val="0"/>
              <w:ind w:left="-108" w:right="-114"/>
            </w:pPr>
            <w:r>
              <w:t>1-</w:t>
            </w:r>
          </w:p>
        </w:tc>
        <w:tc>
          <w:tcPr>
            <w:tcW w:w="293" w:type="dxa"/>
            <w:tcBorders>
              <w:top w:val="single" w:sz="4" w:space="0" w:color="auto"/>
              <w:bottom w:val="single" w:sz="4" w:space="0" w:color="auto"/>
            </w:tcBorders>
          </w:tcPr>
          <w:p w:rsidR="009644A2" w:rsidRPr="004B57D6" w:rsidRDefault="009644A2" w:rsidP="004B57D6">
            <w:pPr>
              <w:widowControl w:val="0"/>
              <w:autoSpaceDE w:val="0"/>
              <w:autoSpaceDN w:val="0"/>
              <w:adjustRightInd w:val="0"/>
              <w:ind w:left="-102" w:right="-108"/>
              <w:jc w:val="center"/>
              <w:rPr>
                <w:i/>
                <w:iCs/>
              </w:rPr>
            </w:pPr>
            <w:proofErr w:type="spellStart"/>
            <w:r w:rsidRPr="004B57D6">
              <w:rPr>
                <w:i/>
                <w:iCs/>
              </w:rPr>
              <w:t>R</w:t>
            </w:r>
            <w:r w:rsidRPr="004B57D6">
              <w:rPr>
                <w:i/>
                <w:iCs/>
                <w:vertAlign w:val="subscript"/>
              </w:rPr>
              <w:t>i</w:t>
            </w:r>
            <w:proofErr w:type="spellEnd"/>
          </w:p>
        </w:tc>
      </w:tr>
      <w:tr w:rsidR="004B57D6" w:rsidRPr="00304733">
        <w:tblPrEx>
          <w:tblCellMar>
            <w:top w:w="0" w:type="dxa"/>
            <w:bottom w:w="0" w:type="dxa"/>
          </w:tblCellMar>
        </w:tblPrEx>
        <w:tc>
          <w:tcPr>
            <w:tcW w:w="456" w:type="dxa"/>
          </w:tcPr>
          <w:p w:rsidR="004B57D6" w:rsidRPr="00304733" w:rsidRDefault="004B57D6" w:rsidP="002666FE">
            <w:pPr>
              <w:widowControl w:val="0"/>
              <w:autoSpaceDE w:val="0"/>
              <w:autoSpaceDN w:val="0"/>
              <w:adjustRightInd w:val="0"/>
            </w:pPr>
          </w:p>
        </w:tc>
        <w:tc>
          <w:tcPr>
            <w:tcW w:w="285" w:type="dxa"/>
          </w:tcPr>
          <w:p w:rsidR="004B57D6" w:rsidRPr="00304733" w:rsidRDefault="004B57D6" w:rsidP="002666FE">
            <w:pPr>
              <w:widowControl w:val="0"/>
              <w:autoSpaceDE w:val="0"/>
              <w:autoSpaceDN w:val="0"/>
              <w:adjustRightInd w:val="0"/>
            </w:pPr>
          </w:p>
        </w:tc>
        <w:tc>
          <w:tcPr>
            <w:tcW w:w="285" w:type="dxa"/>
            <w:vMerge/>
          </w:tcPr>
          <w:p w:rsidR="004B57D6" w:rsidRPr="00304733" w:rsidRDefault="004B57D6" w:rsidP="002666FE">
            <w:pPr>
              <w:widowControl w:val="0"/>
              <w:autoSpaceDE w:val="0"/>
              <w:autoSpaceDN w:val="0"/>
              <w:adjustRightInd w:val="0"/>
            </w:pPr>
          </w:p>
        </w:tc>
        <w:tc>
          <w:tcPr>
            <w:tcW w:w="293" w:type="dxa"/>
            <w:tcBorders>
              <w:top w:val="single" w:sz="4" w:space="0" w:color="auto"/>
            </w:tcBorders>
          </w:tcPr>
          <w:p w:rsidR="004B57D6" w:rsidRPr="004B57D6" w:rsidRDefault="004B57D6" w:rsidP="004B57D6">
            <w:pPr>
              <w:widowControl w:val="0"/>
              <w:autoSpaceDE w:val="0"/>
              <w:autoSpaceDN w:val="0"/>
              <w:adjustRightInd w:val="0"/>
              <w:ind w:left="-102" w:right="-108"/>
              <w:jc w:val="center"/>
              <w:rPr>
                <w:i/>
                <w:iCs/>
              </w:rPr>
            </w:pPr>
            <w:r w:rsidRPr="004B57D6">
              <w:rPr>
                <w:i/>
                <w:iCs/>
              </w:rPr>
              <w:t>S</w:t>
            </w:r>
            <w:r w:rsidRPr="004B57D6">
              <w:rPr>
                <w:i/>
                <w:iCs/>
                <w:vertAlign w:val="subscript"/>
              </w:rPr>
              <w:t>i</w:t>
            </w:r>
          </w:p>
        </w:tc>
      </w:tr>
    </w:tbl>
    <w:p w:rsidR="00304733" w:rsidRPr="00304733" w:rsidRDefault="00304733" w:rsidP="008420D1">
      <w:pPr>
        <w:widowControl w:val="0"/>
        <w:autoSpaceDE w:val="0"/>
        <w:autoSpaceDN w:val="0"/>
        <w:adjustRightInd w:val="0"/>
        <w:ind w:left="1440" w:hanging="720"/>
      </w:pPr>
    </w:p>
    <w:p w:rsidR="008420D1" w:rsidRDefault="008420D1" w:rsidP="008420D1">
      <w:pPr>
        <w:widowControl w:val="0"/>
        <w:autoSpaceDE w:val="0"/>
        <w:autoSpaceDN w:val="0"/>
        <w:adjustRightInd w:val="0"/>
        <w:ind w:left="1440" w:hanging="720"/>
      </w:pPr>
      <w:r>
        <w:t>c)</w:t>
      </w:r>
      <w:r>
        <w:tab/>
        <w:t xml:space="preserve">As used in subsection (a) and (b), symbols mean the following:   </w:t>
      </w:r>
    </w:p>
    <w:p w:rsidR="008420D1" w:rsidRDefault="008420D1" w:rsidP="008420D1">
      <w:pPr>
        <w:widowControl w:val="0"/>
        <w:autoSpaceDE w:val="0"/>
        <w:autoSpaceDN w:val="0"/>
        <w:adjustRightInd w:val="0"/>
      </w:pPr>
    </w:p>
    <w:tbl>
      <w:tblPr>
        <w:tblW w:w="8037" w:type="dxa"/>
        <w:tblInd w:w="1476" w:type="dxa"/>
        <w:tblLook w:val="0000" w:firstRow="0" w:lastRow="0" w:firstColumn="0" w:lastColumn="0" w:noHBand="0" w:noVBand="0"/>
      </w:tblPr>
      <w:tblGrid>
        <w:gridCol w:w="684"/>
        <w:gridCol w:w="399"/>
        <w:gridCol w:w="6954"/>
      </w:tblGrid>
      <w:tr w:rsidR="00167AA7">
        <w:tblPrEx>
          <w:tblCellMar>
            <w:top w:w="0" w:type="dxa"/>
            <w:bottom w:w="0" w:type="dxa"/>
          </w:tblCellMar>
        </w:tblPrEx>
        <w:tc>
          <w:tcPr>
            <w:tcW w:w="684" w:type="dxa"/>
          </w:tcPr>
          <w:p w:rsidR="00167AA7" w:rsidRDefault="00167AA7" w:rsidP="008420D1">
            <w:pPr>
              <w:widowControl w:val="0"/>
              <w:autoSpaceDE w:val="0"/>
              <w:autoSpaceDN w:val="0"/>
              <w:adjustRightInd w:val="0"/>
            </w:pPr>
            <w:r>
              <w:t>E</w:t>
            </w:r>
            <w:r w:rsidRPr="00167AA7">
              <w:rPr>
                <w:vertAlign w:val="subscript"/>
              </w:rPr>
              <w:t>ALL</w:t>
            </w:r>
          </w:p>
        </w:tc>
        <w:tc>
          <w:tcPr>
            <w:tcW w:w="399" w:type="dxa"/>
          </w:tcPr>
          <w:p w:rsidR="00167AA7" w:rsidRDefault="00167AA7" w:rsidP="009644A2">
            <w:pPr>
              <w:widowControl w:val="0"/>
              <w:autoSpaceDE w:val="0"/>
              <w:autoSpaceDN w:val="0"/>
              <w:adjustRightInd w:val="0"/>
              <w:ind w:left="-108" w:right="-108"/>
              <w:jc w:val="center"/>
            </w:pPr>
            <w:r>
              <w:t>=</w:t>
            </w:r>
          </w:p>
        </w:tc>
        <w:tc>
          <w:tcPr>
            <w:tcW w:w="6954" w:type="dxa"/>
          </w:tcPr>
          <w:p w:rsidR="00167AA7" w:rsidRDefault="00633F71" w:rsidP="008420D1">
            <w:pPr>
              <w:widowControl w:val="0"/>
              <w:autoSpaceDE w:val="0"/>
              <w:autoSpaceDN w:val="0"/>
              <w:adjustRightInd w:val="0"/>
            </w:pPr>
            <w:r>
              <w:t>t</w:t>
            </w:r>
            <w:r w:rsidR="00167AA7">
              <w:t>he allowable volatile organic material emissions from the coating plant in kg/day (lb/day).</w:t>
            </w:r>
          </w:p>
        </w:tc>
      </w:tr>
      <w:tr w:rsidR="00167AA7">
        <w:tblPrEx>
          <w:tblCellMar>
            <w:top w:w="0" w:type="dxa"/>
            <w:bottom w:w="0" w:type="dxa"/>
          </w:tblCellMar>
        </w:tblPrEx>
        <w:tc>
          <w:tcPr>
            <w:tcW w:w="684" w:type="dxa"/>
          </w:tcPr>
          <w:p w:rsidR="00167AA7" w:rsidRDefault="00167AA7" w:rsidP="008420D1">
            <w:pPr>
              <w:widowControl w:val="0"/>
              <w:autoSpaceDE w:val="0"/>
              <w:autoSpaceDN w:val="0"/>
              <w:adjustRightInd w:val="0"/>
            </w:pPr>
            <w:r>
              <w:t>A</w:t>
            </w:r>
            <w:r w:rsidRPr="00167AA7">
              <w:rPr>
                <w:vertAlign w:val="subscript"/>
              </w:rPr>
              <w:t>i</w:t>
            </w:r>
          </w:p>
        </w:tc>
        <w:tc>
          <w:tcPr>
            <w:tcW w:w="399" w:type="dxa"/>
          </w:tcPr>
          <w:p w:rsidR="00167AA7" w:rsidRDefault="00167AA7" w:rsidP="009644A2">
            <w:pPr>
              <w:widowControl w:val="0"/>
              <w:autoSpaceDE w:val="0"/>
              <w:autoSpaceDN w:val="0"/>
              <w:adjustRightInd w:val="0"/>
              <w:ind w:left="-108" w:right="-108"/>
              <w:jc w:val="center"/>
            </w:pPr>
            <w:r>
              <w:t>=</w:t>
            </w:r>
          </w:p>
        </w:tc>
        <w:tc>
          <w:tcPr>
            <w:tcW w:w="6954" w:type="dxa"/>
          </w:tcPr>
          <w:p w:rsidR="00167AA7" w:rsidRDefault="00633F71" w:rsidP="008420D1">
            <w:pPr>
              <w:widowControl w:val="0"/>
              <w:autoSpaceDE w:val="0"/>
              <w:autoSpaceDN w:val="0"/>
              <w:adjustRightInd w:val="0"/>
            </w:pPr>
            <w:r>
              <w:t>th</w:t>
            </w:r>
            <w:r w:rsidR="00167AA7">
              <w:t>e allowable emission limit for a coating pursuant to Section 215.204 expressed in kg/1 (lbs/gal) of coating solids.</w:t>
            </w:r>
          </w:p>
        </w:tc>
      </w:tr>
      <w:tr w:rsidR="00167AA7">
        <w:tblPrEx>
          <w:tblCellMar>
            <w:top w:w="0" w:type="dxa"/>
            <w:bottom w:w="0" w:type="dxa"/>
          </w:tblCellMar>
        </w:tblPrEx>
        <w:tc>
          <w:tcPr>
            <w:tcW w:w="684" w:type="dxa"/>
          </w:tcPr>
          <w:p w:rsidR="00167AA7" w:rsidRDefault="00167AA7" w:rsidP="008420D1">
            <w:pPr>
              <w:widowControl w:val="0"/>
              <w:autoSpaceDE w:val="0"/>
              <w:autoSpaceDN w:val="0"/>
              <w:adjustRightInd w:val="0"/>
            </w:pPr>
            <w:r>
              <w:t>B</w:t>
            </w:r>
            <w:r w:rsidRPr="00167AA7">
              <w:rPr>
                <w:vertAlign w:val="subscript"/>
              </w:rPr>
              <w:t>i</w:t>
            </w:r>
          </w:p>
        </w:tc>
        <w:tc>
          <w:tcPr>
            <w:tcW w:w="399" w:type="dxa"/>
          </w:tcPr>
          <w:p w:rsidR="00167AA7" w:rsidRDefault="00167AA7" w:rsidP="009644A2">
            <w:pPr>
              <w:widowControl w:val="0"/>
              <w:autoSpaceDE w:val="0"/>
              <w:autoSpaceDN w:val="0"/>
              <w:adjustRightInd w:val="0"/>
              <w:ind w:left="-108" w:right="-108"/>
              <w:jc w:val="center"/>
            </w:pPr>
            <w:r>
              <w:t>=</w:t>
            </w:r>
          </w:p>
        </w:tc>
        <w:tc>
          <w:tcPr>
            <w:tcW w:w="6954" w:type="dxa"/>
          </w:tcPr>
          <w:p w:rsidR="00167AA7" w:rsidRDefault="00633F71" w:rsidP="008420D1">
            <w:pPr>
              <w:widowControl w:val="0"/>
              <w:autoSpaceDE w:val="0"/>
              <w:autoSpaceDN w:val="0"/>
              <w:adjustRightInd w:val="0"/>
            </w:pPr>
            <w:r>
              <w:t>the</w:t>
            </w:r>
            <w:r w:rsidR="00167AA7">
              <w:t xml:space="preserve"> volume of coating solids in 1/day (gal/day) in a coating as delivered to the coating line.</w:t>
            </w:r>
          </w:p>
        </w:tc>
      </w:tr>
      <w:tr w:rsidR="00167AA7">
        <w:tblPrEx>
          <w:tblCellMar>
            <w:top w:w="0" w:type="dxa"/>
            <w:bottom w:w="0" w:type="dxa"/>
          </w:tblCellMar>
        </w:tblPrEx>
        <w:tc>
          <w:tcPr>
            <w:tcW w:w="684" w:type="dxa"/>
          </w:tcPr>
          <w:p w:rsidR="00167AA7" w:rsidRDefault="00167AA7" w:rsidP="008420D1">
            <w:pPr>
              <w:widowControl w:val="0"/>
              <w:autoSpaceDE w:val="0"/>
              <w:autoSpaceDN w:val="0"/>
              <w:adjustRightInd w:val="0"/>
            </w:pPr>
            <w:r>
              <w:t>m</w:t>
            </w:r>
          </w:p>
        </w:tc>
        <w:tc>
          <w:tcPr>
            <w:tcW w:w="399" w:type="dxa"/>
          </w:tcPr>
          <w:p w:rsidR="00167AA7" w:rsidRDefault="00167AA7" w:rsidP="009644A2">
            <w:pPr>
              <w:widowControl w:val="0"/>
              <w:autoSpaceDE w:val="0"/>
              <w:autoSpaceDN w:val="0"/>
              <w:adjustRightInd w:val="0"/>
              <w:ind w:left="-108" w:right="-108"/>
              <w:jc w:val="center"/>
            </w:pPr>
            <w:r>
              <w:t>=</w:t>
            </w:r>
          </w:p>
        </w:tc>
        <w:tc>
          <w:tcPr>
            <w:tcW w:w="6954" w:type="dxa"/>
          </w:tcPr>
          <w:p w:rsidR="00167AA7" w:rsidRDefault="00633F71" w:rsidP="008420D1">
            <w:pPr>
              <w:widowControl w:val="0"/>
              <w:autoSpaceDE w:val="0"/>
              <w:autoSpaceDN w:val="0"/>
              <w:adjustRightInd w:val="0"/>
            </w:pPr>
            <w:r>
              <w:t>t</w:t>
            </w:r>
            <w:r w:rsidR="00167AA7">
              <w:t>he number of coating lines included in the combined emission rate.</w:t>
            </w:r>
          </w:p>
        </w:tc>
      </w:tr>
      <w:tr w:rsidR="00167AA7">
        <w:tblPrEx>
          <w:tblCellMar>
            <w:top w:w="0" w:type="dxa"/>
            <w:bottom w:w="0" w:type="dxa"/>
          </w:tblCellMar>
        </w:tblPrEx>
        <w:tc>
          <w:tcPr>
            <w:tcW w:w="684" w:type="dxa"/>
          </w:tcPr>
          <w:p w:rsidR="00167AA7" w:rsidRDefault="00167AA7" w:rsidP="008420D1">
            <w:pPr>
              <w:widowControl w:val="0"/>
              <w:autoSpaceDE w:val="0"/>
              <w:autoSpaceDN w:val="0"/>
              <w:adjustRightInd w:val="0"/>
            </w:pPr>
            <w:r>
              <w:t>n</w:t>
            </w:r>
          </w:p>
        </w:tc>
        <w:tc>
          <w:tcPr>
            <w:tcW w:w="399" w:type="dxa"/>
          </w:tcPr>
          <w:p w:rsidR="00167AA7" w:rsidRDefault="00167AA7" w:rsidP="009644A2">
            <w:pPr>
              <w:widowControl w:val="0"/>
              <w:autoSpaceDE w:val="0"/>
              <w:autoSpaceDN w:val="0"/>
              <w:adjustRightInd w:val="0"/>
              <w:ind w:left="-108" w:right="-108"/>
              <w:jc w:val="center"/>
            </w:pPr>
            <w:r>
              <w:t>=</w:t>
            </w:r>
          </w:p>
        </w:tc>
        <w:tc>
          <w:tcPr>
            <w:tcW w:w="6954" w:type="dxa"/>
          </w:tcPr>
          <w:p w:rsidR="00167AA7" w:rsidRDefault="00167AA7" w:rsidP="008420D1">
            <w:pPr>
              <w:widowControl w:val="0"/>
              <w:autoSpaceDE w:val="0"/>
              <w:autoSpaceDN w:val="0"/>
              <w:adjustRightInd w:val="0"/>
            </w:pPr>
            <w:r>
              <w:t>the</w:t>
            </w:r>
            <w:r w:rsidR="00633F71">
              <w:t xml:space="preserve"> number of different coatings delivered to a coating line.</w:t>
            </w:r>
          </w:p>
        </w:tc>
      </w:tr>
      <w:tr w:rsidR="00167AA7">
        <w:tblPrEx>
          <w:tblCellMar>
            <w:top w:w="0" w:type="dxa"/>
            <w:bottom w:w="0" w:type="dxa"/>
          </w:tblCellMar>
        </w:tblPrEx>
        <w:tc>
          <w:tcPr>
            <w:tcW w:w="684" w:type="dxa"/>
          </w:tcPr>
          <w:p w:rsidR="00167AA7" w:rsidRDefault="00633F71" w:rsidP="008420D1">
            <w:pPr>
              <w:widowControl w:val="0"/>
              <w:autoSpaceDE w:val="0"/>
              <w:autoSpaceDN w:val="0"/>
              <w:adjustRightInd w:val="0"/>
            </w:pPr>
            <w:r>
              <w:t>E</w:t>
            </w:r>
            <w:r w:rsidRPr="00633F71">
              <w:rPr>
                <w:vertAlign w:val="subscript"/>
              </w:rPr>
              <w:t>ACT</w:t>
            </w:r>
          </w:p>
        </w:tc>
        <w:tc>
          <w:tcPr>
            <w:tcW w:w="399" w:type="dxa"/>
          </w:tcPr>
          <w:p w:rsidR="00167AA7" w:rsidRDefault="00633F71" w:rsidP="009644A2">
            <w:pPr>
              <w:widowControl w:val="0"/>
              <w:autoSpaceDE w:val="0"/>
              <w:autoSpaceDN w:val="0"/>
              <w:adjustRightInd w:val="0"/>
              <w:ind w:left="-108" w:right="-108"/>
              <w:jc w:val="center"/>
            </w:pPr>
            <w:r>
              <w:t>=</w:t>
            </w:r>
          </w:p>
        </w:tc>
        <w:tc>
          <w:tcPr>
            <w:tcW w:w="6954" w:type="dxa"/>
          </w:tcPr>
          <w:p w:rsidR="00167AA7" w:rsidRDefault="00633F71" w:rsidP="008420D1">
            <w:pPr>
              <w:widowControl w:val="0"/>
              <w:autoSpaceDE w:val="0"/>
              <w:autoSpaceDN w:val="0"/>
              <w:adjustRightInd w:val="0"/>
            </w:pPr>
            <w:r>
              <w:t>the actual volatile organic material emissions from the coating plant in kg/day (lbs/day).</w:t>
            </w:r>
          </w:p>
        </w:tc>
      </w:tr>
      <w:tr w:rsidR="00167AA7">
        <w:tblPrEx>
          <w:tblCellMar>
            <w:top w:w="0" w:type="dxa"/>
            <w:bottom w:w="0" w:type="dxa"/>
          </w:tblCellMar>
        </w:tblPrEx>
        <w:tc>
          <w:tcPr>
            <w:tcW w:w="684" w:type="dxa"/>
          </w:tcPr>
          <w:p w:rsidR="00167AA7" w:rsidRDefault="00633F71" w:rsidP="008420D1">
            <w:pPr>
              <w:widowControl w:val="0"/>
              <w:autoSpaceDE w:val="0"/>
              <w:autoSpaceDN w:val="0"/>
              <w:adjustRightInd w:val="0"/>
            </w:pPr>
            <w:proofErr w:type="spellStart"/>
            <w:r>
              <w:t>C</w:t>
            </w:r>
            <w:r w:rsidRPr="00633F71">
              <w:rPr>
                <w:vertAlign w:val="subscript"/>
              </w:rPr>
              <w:t>i</w:t>
            </w:r>
            <w:proofErr w:type="spellEnd"/>
          </w:p>
        </w:tc>
        <w:tc>
          <w:tcPr>
            <w:tcW w:w="399" w:type="dxa"/>
          </w:tcPr>
          <w:p w:rsidR="00167AA7" w:rsidRDefault="00633F71" w:rsidP="009644A2">
            <w:pPr>
              <w:widowControl w:val="0"/>
              <w:autoSpaceDE w:val="0"/>
              <w:autoSpaceDN w:val="0"/>
              <w:adjustRightInd w:val="0"/>
              <w:ind w:left="-108" w:right="-108"/>
              <w:jc w:val="center"/>
            </w:pPr>
            <w:r>
              <w:t>=</w:t>
            </w:r>
          </w:p>
        </w:tc>
        <w:tc>
          <w:tcPr>
            <w:tcW w:w="6954" w:type="dxa"/>
          </w:tcPr>
          <w:p w:rsidR="00167AA7" w:rsidRDefault="00633F71" w:rsidP="008420D1">
            <w:pPr>
              <w:widowControl w:val="0"/>
              <w:autoSpaceDE w:val="0"/>
              <w:autoSpaceDN w:val="0"/>
              <w:adjustRightInd w:val="0"/>
            </w:pPr>
            <w:r>
              <w:t>the weight of volatile organic material per volume of solids in kg/1 (lb/gal) for a coating.</w:t>
            </w:r>
          </w:p>
        </w:tc>
      </w:tr>
      <w:tr w:rsidR="00167AA7">
        <w:tblPrEx>
          <w:tblCellMar>
            <w:top w:w="0" w:type="dxa"/>
            <w:bottom w:w="0" w:type="dxa"/>
          </w:tblCellMar>
        </w:tblPrEx>
        <w:tc>
          <w:tcPr>
            <w:tcW w:w="684" w:type="dxa"/>
          </w:tcPr>
          <w:p w:rsidR="00167AA7" w:rsidRDefault="00633F71" w:rsidP="008420D1">
            <w:pPr>
              <w:widowControl w:val="0"/>
              <w:autoSpaceDE w:val="0"/>
              <w:autoSpaceDN w:val="0"/>
              <w:adjustRightInd w:val="0"/>
            </w:pPr>
            <w:r>
              <w:t>D</w:t>
            </w:r>
            <w:r w:rsidRPr="00633F71">
              <w:rPr>
                <w:vertAlign w:val="subscript"/>
              </w:rPr>
              <w:t>i</w:t>
            </w:r>
          </w:p>
        </w:tc>
        <w:tc>
          <w:tcPr>
            <w:tcW w:w="399" w:type="dxa"/>
          </w:tcPr>
          <w:p w:rsidR="00167AA7" w:rsidRDefault="00633F71" w:rsidP="009644A2">
            <w:pPr>
              <w:widowControl w:val="0"/>
              <w:autoSpaceDE w:val="0"/>
              <w:autoSpaceDN w:val="0"/>
              <w:adjustRightInd w:val="0"/>
              <w:ind w:left="-108" w:right="-108"/>
              <w:jc w:val="center"/>
            </w:pPr>
            <w:r>
              <w:t>=</w:t>
            </w:r>
          </w:p>
        </w:tc>
        <w:tc>
          <w:tcPr>
            <w:tcW w:w="6954" w:type="dxa"/>
          </w:tcPr>
          <w:p w:rsidR="00167AA7" w:rsidRDefault="00633F71" w:rsidP="008420D1">
            <w:pPr>
              <w:widowControl w:val="0"/>
              <w:autoSpaceDE w:val="0"/>
              <w:autoSpaceDN w:val="0"/>
              <w:adjustRightInd w:val="0"/>
            </w:pPr>
            <w:r>
              <w:t>the control efficiency by which emissions of volatile organic material from a coating are reduced through the use of control equipment.</w:t>
            </w:r>
          </w:p>
        </w:tc>
      </w:tr>
      <w:tr w:rsidR="00167AA7">
        <w:tblPrEx>
          <w:tblCellMar>
            <w:top w:w="0" w:type="dxa"/>
            <w:bottom w:w="0" w:type="dxa"/>
          </w:tblCellMar>
        </w:tblPrEx>
        <w:tc>
          <w:tcPr>
            <w:tcW w:w="684" w:type="dxa"/>
          </w:tcPr>
          <w:p w:rsidR="00167AA7" w:rsidRDefault="00633F71" w:rsidP="008420D1">
            <w:pPr>
              <w:widowControl w:val="0"/>
              <w:autoSpaceDE w:val="0"/>
              <w:autoSpaceDN w:val="0"/>
              <w:adjustRightInd w:val="0"/>
            </w:pPr>
            <w:proofErr w:type="spellStart"/>
            <w:r>
              <w:t>R</w:t>
            </w:r>
            <w:r w:rsidRPr="00633F71">
              <w:rPr>
                <w:vertAlign w:val="subscript"/>
              </w:rPr>
              <w:t>i</w:t>
            </w:r>
            <w:proofErr w:type="spellEnd"/>
          </w:p>
        </w:tc>
        <w:tc>
          <w:tcPr>
            <w:tcW w:w="399" w:type="dxa"/>
          </w:tcPr>
          <w:p w:rsidR="00167AA7" w:rsidRDefault="00633F71" w:rsidP="009644A2">
            <w:pPr>
              <w:widowControl w:val="0"/>
              <w:autoSpaceDE w:val="0"/>
              <w:autoSpaceDN w:val="0"/>
              <w:adjustRightInd w:val="0"/>
              <w:ind w:left="-108" w:right="-108"/>
              <w:jc w:val="center"/>
            </w:pPr>
            <w:r>
              <w:t>=</w:t>
            </w:r>
          </w:p>
        </w:tc>
        <w:tc>
          <w:tcPr>
            <w:tcW w:w="6954" w:type="dxa"/>
          </w:tcPr>
          <w:p w:rsidR="00167AA7" w:rsidRDefault="00633F71" w:rsidP="008420D1">
            <w:pPr>
              <w:widowControl w:val="0"/>
              <w:autoSpaceDE w:val="0"/>
              <w:autoSpaceDN w:val="0"/>
              <w:adjustRightInd w:val="0"/>
            </w:pPr>
            <w:r>
              <w:t>the applicable organic material emission limit pursuant to Section 215.204, for a coating in kg/1 (lb/gal).</w:t>
            </w:r>
          </w:p>
        </w:tc>
      </w:tr>
      <w:tr w:rsidR="00167AA7">
        <w:tblPrEx>
          <w:tblCellMar>
            <w:top w:w="0" w:type="dxa"/>
            <w:bottom w:w="0" w:type="dxa"/>
          </w:tblCellMar>
        </w:tblPrEx>
        <w:tc>
          <w:tcPr>
            <w:tcW w:w="684" w:type="dxa"/>
          </w:tcPr>
          <w:p w:rsidR="00167AA7" w:rsidRDefault="00633F71" w:rsidP="008420D1">
            <w:pPr>
              <w:widowControl w:val="0"/>
              <w:autoSpaceDE w:val="0"/>
              <w:autoSpaceDN w:val="0"/>
              <w:adjustRightInd w:val="0"/>
            </w:pPr>
            <w:r>
              <w:t>S</w:t>
            </w:r>
            <w:r w:rsidRPr="00633F71">
              <w:rPr>
                <w:vertAlign w:val="subscript"/>
              </w:rPr>
              <w:t>i</w:t>
            </w:r>
          </w:p>
        </w:tc>
        <w:tc>
          <w:tcPr>
            <w:tcW w:w="399" w:type="dxa"/>
          </w:tcPr>
          <w:p w:rsidR="00167AA7" w:rsidRDefault="00633F71" w:rsidP="009644A2">
            <w:pPr>
              <w:widowControl w:val="0"/>
              <w:autoSpaceDE w:val="0"/>
              <w:autoSpaceDN w:val="0"/>
              <w:adjustRightInd w:val="0"/>
              <w:ind w:left="-108" w:right="-108"/>
              <w:jc w:val="center"/>
            </w:pPr>
            <w:r>
              <w:t>=</w:t>
            </w:r>
          </w:p>
        </w:tc>
        <w:tc>
          <w:tcPr>
            <w:tcW w:w="6954" w:type="dxa"/>
          </w:tcPr>
          <w:p w:rsidR="00167AA7" w:rsidRDefault="00633F71" w:rsidP="008420D1">
            <w:pPr>
              <w:widowControl w:val="0"/>
              <w:autoSpaceDE w:val="0"/>
              <w:autoSpaceDN w:val="0"/>
              <w:adjustRightInd w:val="0"/>
            </w:pPr>
            <w:r>
              <w:t>the density of the volatile organic material in a coating in kg/l (lb/gal).</w:t>
            </w:r>
          </w:p>
        </w:tc>
      </w:tr>
    </w:tbl>
    <w:p w:rsidR="00167AA7" w:rsidRDefault="00167AA7" w:rsidP="008420D1">
      <w:pPr>
        <w:widowControl w:val="0"/>
        <w:autoSpaceDE w:val="0"/>
        <w:autoSpaceDN w:val="0"/>
        <w:adjustRightInd w:val="0"/>
      </w:pPr>
    </w:p>
    <w:p w:rsidR="008420D1" w:rsidRDefault="008420D1" w:rsidP="008420D1">
      <w:pPr>
        <w:widowControl w:val="0"/>
        <w:autoSpaceDE w:val="0"/>
        <w:autoSpaceDN w:val="0"/>
        <w:adjustRightInd w:val="0"/>
        <w:ind w:left="1440" w:hanging="720"/>
      </w:pPr>
      <w:r>
        <w:t>d)</w:t>
      </w:r>
      <w:r>
        <w:tab/>
        <w:t xml:space="preserve">The owner or operator of the coating plant shall maintain records of the density of the volatile organic material in each coating, the quantity and volatile organic material and solids content of each coating applied and the line to which coating is applied, in such a manner so as to demonstrate continuing compliance with the combined allowable emissions. </w:t>
      </w:r>
    </w:p>
    <w:p w:rsidR="00D92562" w:rsidRDefault="00D92562" w:rsidP="008420D1">
      <w:pPr>
        <w:widowControl w:val="0"/>
        <w:autoSpaceDE w:val="0"/>
        <w:autoSpaceDN w:val="0"/>
        <w:adjustRightInd w:val="0"/>
        <w:ind w:left="1440" w:hanging="720"/>
      </w:pPr>
    </w:p>
    <w:p w:rsidR="008420D1" w:rsidRDefault="008420D1" w:rsidP="008420D1">
      <w:pPr>
        <w:widowControl w:val="0"/>
        <w:autoSpaceDE w:val="0"/>
        <w:autoSpaceDN w:val="0"/>
        <w:adjustRightInd w:val="0"/>
        <w:ind w:left="1440" w:hanging="720"/>
      </w:pPr>
      <w:r>
        <w:t>e)</w:t>
      </w:r>
      <w:r>
        <w:tab/>
        <w:t xml:space="preserve">Except for emission units subject to Section 215.301 or 215.302, credits from emission units at the coating plant that are subject to this Part, other than coating lines, may be given to the extent that emissions are reduced from the allowable emission limits for such emission units contained in either this Part or any existing operating permit, whichever limit is less. </w:t>
      </w:r>
    </w:p>
    <w:p w:rsidR="008420D1" w:rsidRDefault="008420D1" w:rsidP="008420D1">
      <w:pPr>
        <w:widowControl w:val="0"/>
        <w:autoSpaceDE w:val="0"/>
        <w:autoSpaceDN w:val="0"/>
        <w:adjustRightInd w:val="0"/>
        <w:ind w:left="1440" w:hanging="720"/>
      </w:pPr>
    </w:p>
    <w:p w:rsidR="008420D1" w:rsidRDefault="008420D1" w:rsidP="008420D1">
      <w:pPr>
        <w:widowControl w:val="0"/>
        <w:autoSpaceDE w:val="0"/>
        <w:autoSpaceDN w:val="0"/>
        <w:adjustRightInd w:val="0"/>
        <w:ind w:left="1440" w:hanging="720"/>
      </w:pPr>
      <w:r>
        <w:t xml:space="preserve">(Source:  Amended at 22 Ill. Reg. 11427, effective June 19, 1998) </w:t>
      </w:r>
    </w:p>
    <w:sectPr w:rsidR="008420D1" w:rsidSect="008420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20D1"/>
    <w:rsid w:val="00167AA7"/>
    <w:rsid w:val="001C05A1"/>
    <w:rsid w:val="002666FE"/>
    <w:rsid w:val="00304733"/>
    <w:rsid w:val="004B57D6"/>
    <w:rsid w:val="005C3366"/>
    <w:rsid w:val="00633F71"/>
    <w:rsid w:val="007D20E6"/>
    <w:rsid w:val="008102BC"/>
    <w:rsid w:val="00834109"/>
    <w:rsid w:val="008420D1"/>
    <w:rsid w:val="0088065B"/>
    <w:rsid w:val="009644A2"/>
    <w:rsid w:val="00C352D1"/>
    <w:rsid w:val="00D92562"/>
    <w:rsid w:val="00E7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