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07" w:rsidRDefault="003F3907" w:rsidP="003F39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3907" w:rsidRDefault="003F3907" w:rsidP="003F39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215.240  Applicability</w:t>
      </w:r>
      <w:r>
        <w:t xml:space="preserve"> </w:t>
      </w:r>
    </w:p>
    <w:p w:rsidR="003F3907" w:rsidRDefault="003F3907" w:rsidP="003F3907">
      <w:pPr>
        <w:widowControl w:val="0"/>
        <w:autoSpaceDE w:val="0"/>
        <w:autoSpaceDN w:val="0"/>
        <w:adjustRightInd w:val="0"/>
      </w:pPr>
    </w:p>
    <w:p w:rsidR="003F3907" w:rsidRDefault="003F3907" w:rsidP="003F3907">
      <w:pPr>
        <w:widowControl w:val="0"/>
        <w:autoSpaceDE w:val="0"/>
        <w:autoSpaceDN w:val="0"/>
        <w:adjustRightInd w:val="0"/>
      </w:pPr>
      <w:r>
        <w:t xml:space="preserve">Notwithstanding any other limitations or exceptions in this Part 215, the special requirements of this Subpart shall apply to the affected sources in the following counties; Cook, </w:t>
      </w:r>
      <w:proofErr w:type="spellStart"/>
      <w:r>
        <w:t>DuPage</w:t>
      </w:r>
      <w:proofErr w:type="spellEnd"/>
      <w:r>
        <w:t xml:space="preserve">, Kane, Lake, Macoupin, Madison, McHenry, Monroe, St. Clair, and Will. </w:t>
      </w:r>
    </w:p>
    <w:p w:rsidR="003F3907" w:rsidRDefault="003F3907" w:rsidP="003F3907">
      <w:pPr>
        <w:widowControl w:val="0"/>
        <w:autoSpaceDE w:val="0"/>
        <w:autoSpaceDN w:val="0"/>
        <w:adjustRightInd w:val="0"/>
      </w:pPr>
    </w:p>
    <w:p w:rsidR="003F3907" w:rsidRDefault="003F3907" w:rsidP="003F390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in R85-21(A) at 11 Ill. Reg. 11770, effective June 29, 1987) </w:t>
      </w:r>
    </w:p>
    <w:sectPr w:rsidR="003F3907" w:rsidSect="003F39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907"/>
    <w:rsid w:val="002E7B8F"/>
    <w:rsid w:val="003F3907"/>
    <w:rsid w:val="005C3366"/>
    <w:rsid w:val="0087598E"/>
    <w:rsid w:val="00F4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