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54" w:rsidRDefault="00647654" w:rsidP="00647654">
      <w:pPr>
        <w:widowControl w:val="0"/>
        <w:autoSpaceDE w:val="0"/>
        <w:autoSpaceDN w:val="0"/>
        <w:adjustRightInd w:val="0"/>
      </w:pPr>
      <w:bookmarkStart w:id="0" w:name="_GoBack"/>
      <w:bookmarkEnd w:id="0"/>
    </w:p>
    <w:p w:rsidR="00647654" w:rsidRDefault="00647654" w:rsidP="00647654">
      <w:pPr>
        <w:widowControl w:val="0"/>
        <w:autoSpaceDE w:val="0"/>
        <w:autoSpaceDN w:val="0"/>
        <w:adjustRightInd w:val="0"/>
      </w:pPr>
      <w:r>
        <w:rPr>
          <w:b/>
          <w:bCs/>
        </w:rPr>
        <w:t>Section 215.438  Standards for Control Devices</w:t>
      </w:r>
      <w:r>
        <w:t xml:space="preserve"> </w:t>
      </w:r>
    </w:p>
    <w:p w:rsidR="00647654" w:rsidRDefault="00647654" w:rsidP="00647654">
      <w:pPr>
        <w:widowControl w:val="0"/>
        <w:autoSpaceDE w:val="0"/>
        <w:autoSpaceDN w:val="0"/>
        <w:adjustRightInd w:val="0"/>
      </w:pPr>
    </w:p>
    <w:p w:rsidR="00647654" w:rsidRDefault="00647654" w:rsidP="00647654">
      <w:pPr>
        <w:widowControl w:val="0"/>
        <w:autoSpaceDE w:val="0"/>
        <w:autoSpaceDN w:val="0"/>
        <w:adjustRightInd w:val="0"/>
      </w:pPr>
      <w:r>
        <w:t xml:space="preserve">Control devices used to comply with Section 215.437(c) shall comply with following:   </w:t>
      </w:r>
    </w:p>
    <w:p w:rsidR="00B76194" w:rsidRDefault="00B76194" w:rsidP="00647654">
      <w:pPr>
        <w:widowControl w:val="0"/>
        <w:autoSpaceDE w:val="0"/>
        <w:autoSpaceDN w:val="0"/>
        <w:adjustRightInd w:val="0"/>
      </w:pPr>
    </w:p>
    <w:p w:rsidR="00647654" w:rsidRDefault="00647654" w:rsidP="00647654">
      <w:pPr>
        <w:widowControl w:val="0"/>
        <w:autoSpaceDE w:val="0"/>
        <w:autoSpaceDN w:val="0"/>
        <w:adjustRightInd w:val="0"/>
        <w:ind w:left="1440" w:hanging="720"/>
      </w:pPr>
      <w:r>
        <w:t>a)</w:t>
      </w:r>
      <w:r>
        <w:tab/>
        <w:t xml:space="preserve">If the control device is a vapor recovery system (for example, condensers and </w:t>
      </w:r>
      <w:proofErr w:type="spellStart"/>
      <w:r>
        <w:t>adsorbers</w:t>
      </w:r>
      <w:proofErr w:type="spellEnd"/>
      <w:r>
        <w:t xml:space="preserve">) it shall be designed and operated to recover the volatile organic material emissions vented to it with an efficiency of 95 percent or greater. </w:t>
      </w:r>
    </w:p>
    <w:p w:rsidR="00B76194" w:rsidRDefault="00B76194" w:rsidP="00647654">
      <w:pPr>
        <w:widowControl w:val="0"/>
        <w:autoSpaceDE w:val="0"/>
        <w:autoSpaceDN w:val="0"/>
        <w:adjustRightInd w:val="0"/>
        <w:ind w:left="1440" w:hanging="720"/>
      </w:pPr>
    </w:p>
    <w:p w:rsidR="00647654" w:rsidRDefault="00647654" w:rsidP="00647654">
      <w:pPr>
        <w:widowControl w:val="0"/>
        <w:autoSpaceDE w:val="0"/>
        <w:autoSpaceDN w:val="0"/>
        <w:adjustRightInd w:val="0"/>
        <w:ind w:left="1440" w:hanging="720"/>
      </w:pPr>
      <w:r>
        <w:t>b)</w:t>
      </w:r>
      <w:r>
        <w:tab/>
        <w:t>If the control device is an enclosed combustion device, it shall be designed and operated to reduce the volatile organic material emissions vented to it with an efficiency of 95 percent or greater, or to provide a minimum residence time of 0.75 seconds at a minimum temperature of 816</w:t>
      </w:r>
      <w:r w:rsidR="002A1144">
        <w:t>°</w:t>
      </w:r>
      <w:r>
        <w:t xml:space="preserve"> C. </w:t>
      </w:r>
    </w:p>
    <w:p w:rsidR="00B76194" w:rsidRDefault="00B76194" w:rsidP="00647654">
      <w:pPr>
        <w:widowControl w:val="0"/>
        <w:autoSpaceDE w:val="0"/>
        <w:autoSpaceDN w:val="0"/>
        <w:adjustRightInd w:val="0"/>
        <w:ind w:left="1440" w:hanging="720"/>
      </w:pPr>
    </w:p>
    <w:p w:rsidR="00647654" w:rsidRDefault="00647654" w:rsidP="00647654">
      <w:pPr>
        <w:widowControl w:val="0"/>
        <w:autoSpaceDE w:val="0"/>
        <w:autoSpaceDN w:val="0"/>
        <w:adjustRightInd w:val="0"/>
        <w:ind w:left="1440" w:hanging="720"/>
      </w:pPr>
      <w:r>
        <w:t>c)</w:t>
      </w:r>
      <w:r>
        <w:tab/>
        <w:t>If the control device is a f</w:t>
      </w:r>
      <w:r w:rsidR="002A1144">
        <w:t>lare, it shall:</w:t>
      </w:r>
    </w:p>
    <w:p w:rsidR="00B76194" w:rsidRDefault="00B76194" w:rsidP="00647654">
      <w:pPr>
        <w:widowControl w:val="0"/>
        <w:autoSpaceDE w:val="0"/>
        <w:autoSpaceDN w:val="0"/>
        <w:adjustRightInd w:val="0"/>
        <w:ind w:left="2160" w:hanging="720"/>
      </w:pPr>
    </w:p>
    <w:p w:rsidR="00647654" w:rsidRDefault="00647654" w:rsidP="00647654">
      <w:pPr>
        <w:widowControl w:val="0"/>
        <w:autoSpaceDE w:val="0"/>
        <w:autoSpaceDN w:val="0"/>
        <w:adjustRightInd w:val="0"/>
        <w:ind w:left="2160" w:hanging="720"/>
      </w:pPr>
      <w:r>
        <w:t>1)</w:t>
      </w:r>
      <w:r>
        <w:tab/>
        <w:t>Be designed for and operated with no visible emissions as determined by USEPA Reference Method 22, 40 CFR 60, Appendix A, 1986</w:t>
      </w:r>
      <w:r w:rsidR="002A1144">
        <w:t>,</w:t>
      </w:r>
      <w:r>
        <w:t xml:space="preserve"> incorporated by reference in Section 215.105, except for periods not to exceed a total of 5 minutes during an</w:t>
      </w:r>
      <w:r w:rsidR="002A1144">
        <w:t>y</w:t>
      </w:r>
      <w:r>
        <w:t xml:space="preserve"> 2 consecutive hours. </w:t>
      </w:r>
    </w:p>
    <w:p w:rsidR="00B76194" w:rsidRDefault="00B76194" w:rsidP="00647654">
      <w:pPr>
        <w:widowControl w:val="0"/>
        <w:autoSpaceDE w:val="0"/>
        <w:autoSpaceDN w:val="0"/>
        <w:adjustRightInd w:val="0"/>
        <w:ind w:left="2160" w:hanging="720"/>
      </w:pPr>
    </w:p>
    <w:p w:rsidR="00647654" w:rsidRDefault="00647654" w:rsidP="00647654">
      <w:pPr>
        <w:widowControl w:val="0"/>
        <w:autoSpaceDE w:val="0"/>
        <w:autoSpaceDN w:val="0"/>
        <w:adjustRightInd w:val="0"/>
        <w:ind w:left="2160" w:hanging="720"/>
      </w:pPr>
      <w:r>
        <w:t>2)</w:t>
      </w:r>
      <w:r>
        <w:tab/>
        <w:t xml:space="preserve">Be operated with a pilot flame present at all times and shall be monitored with a thermocouple or any other equivalent device to detect the presence of the pilot flame. </w:t>
      </w:r>
    </w:p>
    <w:p w:rsidR="00B76194" w:rsidRDefault="00B76194" w:rsidP="00647654">
      <w:pPr>
        <w:widowControl w:val="0"/>
        <w:autoSpaceDE w:val="0"/>
        <w:autoSpaceDN w:val="0"/>
        <w:adjustRightInd w:val="0"/>
        <w:ind w:left="2160" w:hanging="720"/>
      </w:pPr>
    </w:p>
    <w:p w:rsidR="00647654" w:rsidRDefault="00647654" w:rsidP="00647654">
      <w:pPr>
        <w:widowControl w:val="0"/>
        <w:autoSpaceDE w:val="0"/>
        <w:autoSpaceDN w:val="0"/>
        <w:adjustRightInd w:val="0"/>
        <w:ind w:left="2160" w:hanging="720"/>
      </w:pPr>
      <w:r>
        <w:t>3)</w:t>
      </w:r>
      <w:r>
        <w:tab/>
        <w:t xml:space="preserve">Be steam-assisted, air assisted, or </w:t>
      </w:r>
      <w:proofErr w:type="spellStart"/>
      <w:r>
        <w:t>nonassisted</w:t>
      </w:r>
      <w:proofErr w:type="spellEnd"/>
      <w:r>
        <w:t xml:space="preserve">. </w:t>
      </w:r>
    </w:p>
    <w:p w:rsidR="00B76194" w:rsidRDefault="00B76194" w:rsidP="00647654">
      <w:pPr>
        <w:widowControl w:val="0"/>
        <w:autoSpaceDE w:val="0"/>
        <w:autoSpaceDN w:val="0"/>
        <w:adjustRightInd w:val="0"/>
        <w:ind w:left="2160" w:hanging="720"/>
      </w:pPr>
    </w:p>
    <w:p w:rsidR="00647654" w:rsidRDefault="00647654" w:rsidP="00647654">
      <w:pPr>
        <w:widowControl w:val="0"/>
        <w:autoSpaceDE w:val="0"/>
        <w:autoSpaceDN w:val="0"/>
        <w:adjustRightInd w:val="0"/>
        <w:ind w:left="2160" w:hanging="720"/>
      </w:pPr>
      <w:r>
        <w:t>4)</w:t>
      </w:r>
      <w:r>
        <w:tab/>
        <w:t>Be used only with the net heating value of the gas being combusted being 11.2 MJ/</w:t>
      </w:r>
      <w:proofErr w:type="spellStart"/>
      <w:r>
        <w:t>scm</w:t>
      </w:r>
      <w:proofErr w:type="spellEnd"/>
      <w:r>
        <w:t xml:space="preserve"> (300 Btu/</w:t>
      </w:r>
      <w:proofErr w:type="spellStart"/>
      <w:r>
        <w:t>scf</w:t>
      </w:r>
      <w:proofErr w:type="spellEnd"/>
      <w:r>
        <w:t>) or greater if the flare is steam-assisted or air-assisted; or with the net heating value of the gas being combusted being 7.45 MJ/</w:t>
      </w:r>
      <w:proofErr w:type="spellStart"/>
      <w:r>
        <w:t>scm</w:t>
      </w:r>
      <w:proofErr w:type="spellEnd"/>
      <w:r>
        <w:t xml:space="preserve"> or greater if the flare is </w:t>
      </w:r>
      <w:proofErr w:type="spellStart"/>
      <w:r>
        <w:t>nonassisted</w:t>
      </w:r>
      <w:proofErr w:type="spellEnd"/>
      <w:r>
        <w:t xml:space="preserve">. The net heating value of the gas being combusted shall be calculated using the following equation:   </w:t>
      </w:r>
    </w:p>
    <w:p w:rsidR="00647654" w:rsidRDefault="00647654" w:rsidP="00647654">
      <w:pPr>
        <w:widowControl w:val="0"/>
        <w:autoSpaceDE w:val="0"/>
        <w:autoSpaceDN w:val="0"/>
        <w:adjustRightInd w:val="0"/>
        <w:ind w:left="2160" w:hanging="720"/>
      </w:pPr>
    </w:p>
    <w:tbl>
      <w:tblPr>
        <w:tblW w:w="2781" w:type="dxa"/>
        <w:tblInd w:w="2502" w:type="dxa"/>
        <w:tblLayout w:type="fixed"/>
        <w:tblLook w:val="0000" w:firstRow="0" w:lastRow="0" w:firstColumn="0" w:lastColumn="0" w:noHBand="0" w:noVBand="0"/>
      </w:tblPr>
      <w:tblGrid>
        <w:gridCol w:w="454"/>
        <w:gridCol w:w="352"/>
        <w:gridCol w:w="355"/>
        <w:gridCol w:w="558"/>
        <w:gridCol w:w="1062"/>
      </w:tblGrid>
      <w:tr w:rsidR="0032235C">
        <w:tblPrEx>
          <w:tblCellMar>
            <w:top w:w="0" w:type="dxa"/>
            <w:bottom w:w="0" w:type="dxa"/>
          </w:tblCellMar>
        </w:tblPrEx>
        <w:tc>
          <w:tcPr>
            <w:tcW w:w="454" w:type="dxa"/>
            <w:vMerge w:val="restart"/>
            <w:vAlign w:val="center"/>
          </w:tcPr>
          <w:p w:rsidR="0032235C" w:rsidRDefault="0032235C" w:rsidP="00BD64CB">
            <w:pPr>
              <w:widowControl w:val="0"/>
              <w:autoSpaceDE w:val="0"/>
              <w:autoSpaceDN w:val="0"/>
              <w:adjustRightInd w:val="0"/>
            </w:pPr>
            <w:r>
              <w:t>H</w:t>
            </w:r>
            <w:r>
              <w:rPr>
                <w:vertAlign w:val="subscript"/>
              </w:rPr>
              <w:t>r</w:t>
            </w:r>
          </w:p>
        </w:tc>
        <w:tc>
          <w:tcPr>
            <w:tcW w:w="352" w:type="dxa"/>
            <w:vMerge w:val="restart"/>
            <w:vAlign w:val="center"/>
          </w:tcPr>
          <w:p w:rsidR="0032235C" w:rsidRDefault="0032235C" w:rsidP="00BD64CB">
            <w:pPr>
              <w:widowControl w:val="0"/>
              <w:autoSpaceDE w:val="0"/>
              <w:autoSpaceDN w:val="0"/>
              <w:adjustRightInd w:val="0"/>
              <w:jc w:val="center"/>
            </w:pPr>
            <w:r>
              <w:t>=</w:t>
            </w:r>
          </w:p>
        </w:tc>
        <w:tc>
          <w:tcPr>
            <w:tcW w:w="355" w:type="dxa"/>
            <w:vMerge w:val="restart"/>
            <w:vAlign w:val="center"/>
          </w:tcPr>
          <w:p w:rsidR="0032235C" w:rsidRDefault="0032235C" w:rsidP="00BD64CB">
            <w:pPr>
              <w:widowControl w:val="0"/>
              <w:autoSpaceDE w:val="0"/>
              <w:autoSpaceDN w:val="0"/>
              <w:adjustRightInd w:val="0"/>
            </w:pPr>
            <w:r>
              <w:t>K</w:t>
            </w:r>
          </w:p>
        </w:tc>
        <w:tc>
          <w:tcPr>
            <w:tcW w:w="558" w:type="dxa"/>
            <w:vAlign w:val="center"/>
          </w:tcPr>
          <w:p w:rsidR="0032235C" w:rsidRDefault="0032235C" w:rsidP="00BD64CB">
            <w:pPr>
              <w:widowControl w:val="0"/>
              <w:autoSpaceDE w:val="0"/>
              <w:autoSpaceDN w:val="0"/>
              <w:adjustRightInd w:val="0"/>
              <w:jc w:val="center"/>
            </w:pPr>
            <w:r>
              <w:t>n</w:t>
            </w:r>
          </w:p>
        </w:tc>
        <w:tc>
          <w:tcPr>
            <w:tcW w:w="1062" w:type="dxa"/>
            <w:vMerge w:val="restart"/>
            <w:vAlign w:val="center"/>
          </w:tcPr>
          <w:p w:rsidR="0032235C" w:rsidRDefault="0032235C" w:rsidP="0032235C">
            <w:pPr>
              <w:widowControl w:val="0"/>
              <w:autoSpaceDE w:val="0"/>
              <w:autoSpaceDN w:val="0"/>
              <w:adjustRightInd w:val="0"/>
              <w:ind w:left="-54"/>
            </w:pPr>
            <w:proofErr w:type="spellStart"/>
            <w:r>
              <w:t>C</w:t>
            </w:r>
            <w:r>
              <w:rPr>
                <w:vertAlign w:val="subscript"/>
              </w:rPr>
              <w:t>i</w:t>
            </w:r>
            <w:proofErr w:type="spellEnd"/>
            <w:r>
              <w:t xml:space="preserve"> H</w:t>
            </w:r>
            <w:r>
              <w:rPr>
                <w:vertAlign w:val="subscript"/>
              </w:rPr>
              <w:t>i</w:t>
            </w:r>
          </w:p>
        </w:tc>
      </w:tr>
      <w:tr w:rsidR="0032235C">
        <w:tblPrEx>
          <w:tblCellMar>
            <w:top w:w="0" w:type="dxa"/>
            <w:bottom w:w="0" w:type="dxa"/>
          </w:tblCellMar>
        </w:tblPrEx>
        <w:tc>
          <w:tcPr>
            <w:tcW w:w="454" w:type="dxa"/>
            <w:vMerge/>
            <w:vAlign w:val="center"/>
          </w:tcPr>
          <w:p w:rsidR="0032235C" w:rsidRDefault="0032235C" w:rsidP="00BD64CB">
            <w:pPr>
              <w:widowControl w:val="0"/>
              <w:autoSpaceDE w:val="0"/>
              <w:autoSpaceDN w:val="0"/>
              <w:adjustRightInd w:val="0"/>
            </w:pPr>
          </w:p>
        </w:tc>
        <w:tc>
          <w:tcPr>
            <w:tcW w:w="352" w:type="dxa"/>
            <w:vMerge/>
            <w:vAlign w:val="center"/>
          </w:tcPr>
          <w:p w:rsidR="0032235C" w:rsidRDefault="0032235C" w:rsidP="00BD64CB">
            <w:pPr>
              <w:widowControl w:val="0"/>
              <w:autoSpaceDE w:val="0"/>
              <w:autoSpaceDN w:val="0"/>
              <w:adjustRightInd w:val="0"/>
              <w:jc w:val="center"/>
            </w:pPr>
          </w:p>
        </w:tc>
        <w:tc>
          <w:tcPr>
            <w:tcW w:w="355" w:type="dxa"/>
            <w:vMerge/>
            <w:vAlign w:val="center"/>
          </w:tcPr>
          <w:p w:rsidR="0032235C" w:rsidRDefault="0032235C" w:rsidP="00BD64CB">
            <w:pPr>
              <w:widowControl w:val="0"/>
              <w:autoSpaceDE w:val="0"/>
              <w:autoSpaceDN w:val="0"/>
              <w:adjustRightInd w:val="0"/>
            </w:pPr>
          </w:p>
        </w:tc>
        <w:tc>
          <w:tcPr>
            <w:tcW w:w="558" w:type="dxa"/>
            <w:vAlign w:val="center"/>
          </w:tcPr>
          <w:p w:rsidR="0032235C" w:rsidRDefault="0032235C" w:rsidP="00BD64CB">
            <w:pPr>
              <w:widowControl w:val="0"/>
              <w:autoSpaceDE w:val="0"/>
              <w:autoSpaceDN w:val="0"/>
              <w:adjustRightInd w:val="0"/>
              <w:jc w:val="center"/>
            </w:pPr>
            <w:r>
              <w:t>Σ</w:t>
            </w:r>
          </w:p>
        </w:tc>
        <w:tc>
          <w:tcPr>
            <w:tcW w:w="1062" w:type="dxa"/>
            <w:vMerge/>
            <w:vAlign w:val="center"/>
          </w:tcPr>
          <w:p w:rsidR="0032235C" w:rsidRDefault="0032235C" w:rsidP="00BD64CB">
            <w:pPr>
              <w:widowControl w:val="0"/>
              <w:autoSpaceDE w:val="0"/>
              <w:autoSpaceDN w:val="0"/>
              <w:adjustRightInd w:val="0"/>
            </w:pPr>
          </w:p>
        </w:tc>
      </w:tr>
      <w:tr w:rsidR="0032235C">
        <w:tblPrEx>
          <w:tblCellMar>
            <w:top w:w="0" w:type="dxa"/>
            <w:bottom w:w="0" w:type="dxa"/>
          </w:tblCellMar>
        </w:tblPrEx>
        <w:tc>
          <w:tcPr>
            <w:tcW w:w="454" w:type="dxa"/>
            <w:vMerge/>
            <w:vAlign w:val="center"/>
          </w:tcPr>
          <w:p w:rsidR="0032235C" w:rsidRDefault="0032235C" w:rsidP="00BD64CB">
            <w:pPr>
              <w:widowControl w:val="0"/>
              <w:autoSpaceDE w:val="0"/>
              <w:autoSpaceDN w:val="0"/>
              <w:adjustRightInd w:val="0"/>
            </w:pPr>
          </w:p>
        </w:tc>
        <w:tc>
          <w:tcPr>
            <w:tcW w:w="352" w:type="dxa"/>
            <w:vMerge/>
            <w:vAlign w:val="center"/>
          </w:tcPr>
          <w:p w:rsidR="0032235C" w:rsidRDefault="0032235C" w:rsidP="00BD64CB">
            <w:pPr>
              <w:widowControl w:val="0"/>
              <w:autoSpaceDE w:val="0"/>
              <w:autoSpaceDN w:val="0"/>
              <w:adjustRightInd w:val="0"/>
              <w:jc w:val="center"/>
            </w:pPr>
          </w:p>
        </w:tc>
        <w:tc>
          <w:tcPr>
            <w:tcW w:w="355" w:type="dxa"/>
            <w:vMerge/>
            <w:vAlign w:val="center"/>
          </w:tcPr>
          <w:p w:rsidR="0032235C" w:rsidRDefault="0032235C" w:rsidP="00BD64CB">
            <w:pPr>
              <w:widowControl w:val="0"/>
              <w:autoSpaceDE w:val="0"/>
              <w:autoSpaceDN w:val="0"/>
              <w:adjustRightInd w:val="0"/>
            </w:pPr>
          </w:p>
        </w:tc>
        <w:tc>
          <w:tcPr>
            <w:tcW w:w="558" w:type="dxa"/>
            <w:vAlign w:val="center"/>
          </w:tcPr>
          <w:p w:rsidR="0032235C" w:rsidRDefault="0032235C" w:rsidP="00BD64CB">
            <w:pPr>
              <w:widowControl w:val="0"/>
              <w:autoSpaceDE w:val="0"/>
              <w:autoSpaceDN w:val="0"/>
              <w:adjustRightInd w:val="0"/>
              <w:jc w:val="center"/>
            </w:pPr>
            <w:r>
              <w:t>i=1</w:t>
            </w:r>
          </w:p>
        </w:tc>
        <w:tc>
          <w:tcPr>
            <w:tcW w:w="1062" w:type="dxa"/>
            <w:vMerge/>
          </w:tcPr>
          <w:p w:rsidR="0032235C" w:rsidRDefault="0032235C" w:rsidP="00647654">
            <w:pPr>
              <w:widowControl w:val="0"/>
              <w:autoSpaceDE w:val="0"/>
              <w:autoSpaceDN w:val="0"/>
              <w:adjustRightInd w:val="0"/>
            </w:pPr>
          </w:p>
        </w:tc>
      </w:tr>
    </w:tbl>
    <w:p w:rsidR="002A1144" w:rsidRDefault="002A1144" w:rsidP="00647654">
      <w:pPr>
        <w:widowControl w:val="0"/>
        <w:autoSpaceDE w:val="0"/>
        <w:autoSpaceDN w:val="0"/>
        <w:adjustRightInd w:val="0"/>
        <w:ind w:left="2160" w:hanging="720"/>
      </w:pPr>
    </w:p>
    <w:tbl>
      <w:tblPr>
        <w:tblW w:w="6088" w:type="dxa"/>
        <w:tblInd w:w="3021"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331"/>
        <w:gridCol w:w="285"/>
        <w:gridCol w:w="5472"/>
      </w:tblGrid>
      <w:tr w:rsidR="0042223B">
        <w:tblPrEx>
          <w:tblCellMar>
            <w:top w:w="0" w:type="dxa"/>
            <w:left w:w="0" w:type="dxa"/>
            <w:bottom w:w="0" w:type="dxa"/>
            <w:right w:w="0" w:type="dxa"/>
          </w:tblCellMar>
        </w:tblPrEx>
        <w:trPr>
          <w:trHeight w:val="522"/>
        </w:trPr>
        <w:tc>
          <w:tcPr>
            <w:tcW w:w="6088" w:type="dxa"/>
            <w:gridSpan w:val="3"/>
            <w:tcBorders>
              <w:top w:val="nil"/>
              <w:left w:val="nil"/>
              <w:bottom w:val="nil"/>
              <w:right w:val="nil"/>
            </w:tcBorders>
          </w:tcPr>
          <w:p w:rsidR="0042223B" w:rsidRDefault="0042223B" w:rsidP="002A1144">
            <w:pPr>
              <w:widowControl w:val="0"/>
              <w:autoSpaceDE w:val="0"/>
              <w:autoSpaceDN w:val="0"/>
              <w:adjustRightInd w:val="0"/>
              <w:jc w:val="both"/>
            </w:pPr>
            <w:r>
              <w:t>Where:</w:t>
            </w:r>
          </w:p>
        </w:tc>
      </w:tr>
      <w:tr w:rsidR="0042223B">
        <w:tblPrEx>
          <w:tblCellMar>
            <w:top w:w="0" w:type="dxa"/>
            <w:left w:w="0" w:type="dxa"/>
            <w:bottom w:w="0" w:type="dxa"/>
            <w:right w:w="0" w:type="dxa"/>
          </w:tblCellMar>
        </w:tblPrEx>
        <w:tc>
          <w:tcPr>
            <w:tcW w:w="331" w:type="dxa"/>
            <w:tcBorders>
              <w:top w:val="nil"/>
              <w:left w:val="nil"/>
              <w:bottom w:val="nil"/>
              <w:right w:val="nil"/>
            </w:tcBorders>
          </w:tcPr>
          <w:p w:rsidR="0042223B" w:rsidRPr="002A1144" w:rsidRDefault="0042223B" w:rsidP="00647654">
            <w:pPr>
              <w:widowControl w:val="0"/>
              <w:autoSpaceDE w:val="0"/>
              <w:autoSpaceDN w:val="0"/>
              <w:adjustRightInd w:val="0"/>
              <w:rPr>
                <w:vertAlign w:val="subscript"/>
              </w:rPr>
            </w:pPr>
            <w:r>
              <w:t>H</w:t>
            </w:r>
            <w:r>
              <w:rPr>
                <w:vertAlign w:val="subscript"/>
              </w:rPr>
              <w:t>r</w:t>
            </w:r>
          </w:p>
        </w:tc>
        <w:tc>
          <w:tcPr>
            <w:tcW w:w="285" w:type="dxa"/>
            <w:tcBorders>
              <w:top w:val="nil"/>
              <w:left w:val="nil"/>
              <w:bottom w:val="nil"/>
              <w:right w:val="nil"/>
            </w:tcBorders>
          </w:tcPr>
          <w:p w:rsidR="0042223B" w:rsidRDefault="0042223B" w:rsidP="00647654">
            <w:pPr>
              <w:widowControl w:val="0"/>
              <w:autoSpaceDE w:val="0"/>
              <w:autoSpaceDN w:val="0"/>
              <w:adjustRightInd w:val="0"/>
            </w:pPr>
            <w:r>
              <w:t>=</w:t>
            </w:r>
          </w:p>
        </w:tc>
        <w:tc>
          <w:tcPr>
            <w:tcW w:w="5472" w:type="dxa"/>
            <w:tcBorders>
              <w:top w:val="nil"/>
              <w:left w:val="nil"/>
              <w:bottom w:val="nil"/>
              <w:right w:val="nil"/>
            </w:tcBorders>
          </w:tcPr>
          <w:p w:rsidR="0042223B" w:rsidRDefault="0042223B" w:rsidP="002A1144">
            <w:pPr>
              <w:widowControl w:val="0"/>
              <w:autoSpaceDE w:val="0"/>
              <w:autoSpaceDN w:val="0"/>
              <w:adjustRightInd w:val="0"/>
              <w:jc w:val="both"/>
            </w:pPr>
            <w:r>
              <w:t>Net heating value of the sample in MJ/</w:t>
            </w:r>
            <w:proofErr w:type="spellStart"/>
            <w:r>
              <w:t>scm</w:t>
            </w:r>
            <w:proofErr w:type="spellEnd"/>
            <w:r>
              <w:t xml:space="preserve">; where the net enthalpy per mole of </w:t>
            </w:r>
            <w:proofErr w:type="spellStart"/>
            <w:r>
              <w:t>offgas</w:t>
            </w:r>
            <w:proofErr w:type="spellEnd"/>
            <w:r>
              <w:t xml:space="preserve"> is based on combustion at 25° C</w:t>
            </w:r>
            <w:r w:rsidR="0032235C">
              <w:t xml:space="preserve"> </w:t>
            </w:r>
            <w:r>
              <w:t>and 760 mm Hg, but the standard temperature for determining the value corresponding to one mole is 20° C.</w:t>
            </w:r>
          </w:p>
        </w:tc>
      </w:tr>
    </w:tbl>
    <w:p w:rsidR="00647654" w:rsidRDefault="00647654" w:rsidP="00647654">
      <w:pPr>
        <w:widowControl w:val="0"/>
        <w:autoSpaceDE w:val="0"/>
        <w:autoSpaceDN w:val="0"/>
        <w:adjustRightInd w:val="0"/>
      </w:pPr>
    </w:p>
    <w:tbl>
      <w:tblPr>
        <w:tblW w:w="0" w:type="auto"/>
        <w:tblInd w:w="2493" w:type="dxa"/>
        <w:tblLook w:val="0000" w:firstRow="0" w:lastRow="0" w:firstColumn="0" w:lastColumn="0" w:noHBand="0" w:noVBand="0"/>
      </w:tblPr>
      <w:tblGrid>
        <w:gridCol w:w="465"/>
        <w:gridCol w:w="352"/>
        <w:gridCol w:w="6266"/>
      </w:tblGrid>
      <w:tr w:rsidR="0042223B">
        <w:tblPrEx>
          <w:tblCellMar>
            <w:top w:w="0" w:type="dxa"/>
            <w:bottom w:w="0" w:type="dxa"/>
          </w:tblCellMar>
        </w:tblPrEx>
        <w:tc>
          <w:tcPr>
            <w:tcW w:w="465" w:type="dxa"/>
          </w:tcPr>
          <w:p w:rsidR="0042223B" w:rsidRDefault="0042223B" w:rsidP="00647654">
            <w:pPr>
              <w:widowControl w:val="0"/>
              <w:autoSpaceDE w:val="0"/>
              <w:autoSpaceDN w:val="0"/>
              <w:adjustRightInd w:val="0"/>
            </w:pPr>
            <w:r>
              <w:t>K</w:t>
            </w:r>
          </w:p>
        </w:tc>
        <w:tc>
          <w:tcPr>
            <w:tcW w:w="352" w:type="dxa"/>
          </w:tcPr>
          <w:p w:rsidR="0042223B" w:rsidRDefault="0042223B" w:rsidP="00647654">
            <w:pPr>
              <w:widowControl w:val="0"/>
              <w:autoSpaceDE w:val="0"/>
              <w:autoSpaceDN w:val="0"/>
              <w:adjustRightInd w:val="0"/>
            </w:pPr>
            <w:r>
              <w:t>=</w:t>
            </w:r>
          </w:p>
        </w:tc>
        <w:tc>
          <w:tcPr>
            <w:tcW w:w="6266" w:type="dxa"/>
          </w:tcPr>
          <w:p w:rsidR="0042223B" w:rsidRDefault="0042223B" w:rsidP="00647654">
            <w:pPr>
              <w:widowControl w:val="0"/>
              <w:autoSpaceDE w:val="0"/>
              <w:autoSpaceDN w:val="0"/>
              <w:adjustRightInd w:val="0"/>
            </w:pPr>
            <w:r>
              <w:t>Constant,</w:t>
            </w:r>
          </w:p>
        </w:tc>
      </w:tr>
    </w:tbl>
    <w:p w:rsidR="0042223B" w:rsidRDefault="0042223B" w:rsidP="00647654">
      <w:pPr>
        <w:widowControl w:val="0"/>
        <w:autoSpaceDE w:val="0"/>
        <w:autoSpaceDN w:val="0"/>
        <w:adjustRightInd w:val="0"/>
      </w:pPr>
    </w:p>
    <w:tbl>
      <w:tblPr>
        <w:tblW w:w="0" w:type="auto"/>
        <w:tblInd w:w="3300" w:type="dxa"/>
        <w:tblLook w:val="0000" w:firstRow="0" w:lastRow="0" w:firstColumn="0" w:lastColumn="0" w:noHBand="0" w:noVBand="0"/>
      </w:tblPr>
      <w:tblGrid>
        <w:gridCol w:w="798"/>
        <w:gridCol w:w="240"/>
        <w:gridCol w:w="423"/>
        <w:gridCol w:w="4815"/>
      </w:tblGrid>
      <w:tr w:rsidR="0042223B">
        <w:tblPrEx>
          <w:tblCellMar>
            <w:top w:w="0" w:type="dxa"/>
            <w:bottom w:w="0" w:type="dxa"/>
          </w:tblCellMar>
        </w:tblPrEx>
        <w:tc>
          <w:tcPr>
            <w:tcW w:w="798" w:type="dxa"/>
          </w:tcPr>
          <w:p w:rsidR="0042223B" w:rsidRDefault="0042223B" w:rsidP="0042223B">
            <w:pPr>
              <w:widowControl w:val="0"/>
              <w:autoSpaceDE w:val="0"/>
              <w:autoSpaceDN w:val="0"/>
              <w:adjustRightInd w:val="0"/>
              <w:jc w:val="center"/>
            </w:pPr>
            <w:r>
              <w:t>1.740</w:t>
            </w:r>
          </w:p>
        </w:tc>
        <w:tc>
          <w:tcPr>
            <w:tcW w:w="240" w:type="dxa"/>
          </w:tcPr>
          <w:p w:rsidR="0042223B" w:rsidRDefault="0042223B" w:rsidP="0042223B">
            <w:pPr>
              <w:widowControl w:val="0"/>
              <w:autoSpaceDE w:val="0"/>
              <w:autoSpaceDN w:val="0"/>
              <w:adjustRightInd w:val="0"/>
              <w:ind w:left="-120" w:right="-78"/>
              <w:jc w:val="center"/>
            </w:pPr>
            <w:r>
              <w:t>x</w:t>
            </w:r>
          </w:p>
        </w:tc>
        <w:tc>
          <w:tcPr>
            <w:tcW w:w="423" w:type="dxa"/>
          </w:tcPr>
          <w:p w:rsidR="0042223B" w:rsidRPr="0042223B" w:rsidRDefault="0042223B" w:rsidP="0042223B">
            <w:pPr>
              <w:widowControl w:val="0"/>
              <w:autoSpaceDE w:val="0"/>
              <w:autoSpaceDN w:val="0"/>
              <w:adjustRightInd w:val="0"/>
              <w:ind w:left="-108" w:right="-69"/>
              <w:jc w:val="center"/>
              <w:rPr>
                <w:vertAlign w:val="superscript"/>
              </w:rPr>
            </w:pPr>
            <w:r>
              <w:t>10</w:t>
            </w:r>
            <w:r>
              <w:rPr>
                <w:vertAlign w:val="superscript"/>
              </w:rPr>
              <w:t>-7</w:t>
            </w:r>
          </w:p>
        </w:tc>
        <w:tc>
          <w:tcPr>
            <w:tcW w:w="4815" w:type="dxa"/>
          </w:tcPr>
          <w:p w:rsidR="0042223B" w:rsidRDefault="0042223B" w:rsidP="0042223B">
            <w:pPr>
              <w:widowControl w:val="0"/>
              <w:autoSpaceDE w:val="0"/>
              <w:autoSpaceDN w:val="0"/>
              <w:adjustRightInd w:val="0"/>
              <w:ind w:left="-54"/>
            </w:pPr>
            <w:r>
              <w:t>(1/ppm) (</w:t>
            </w:r>
            <w:proofErr w:type="spellStart"/>
            <w:r>
              <w:t>gmole</w:t>
            </w:r>
            <w:proofErr w:type="spellEnd"/>
            <w:r>
              <w:t>/</w:t>
            </w:r>
            <w:proofErr w:type="spellStart"/>
            <w:r>
              <w:t>scm</w:t>
            </w:r>
            <w:proofErr w:type="spellEnd"/>
            <w:r>
              <w:t>) (MJ/Kcal)</w:t>
            </w:r>
          </w:p>
        </w:tc>
      </w:tr>
    </w:tbl>
    <w:p w:rsidR="0042223B" w:rsidRDefault="0042223B" w:rsidP="00647654">
      <w:pPr>
        <w:widowControl w:val="0"/>
        <w:autoSpaceDE w:val="0"/>
        <w:autoSpaceDN w:val="0"/>
        <w:adjustRightInd w:val="0"/>
      </w:pPr>
    </w:p>
    <w:tbl>
      <w:tblPr>
        <w:tblW w:w="6088" w:type="dxa"/>
        <w:tblInd w:w="3021"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331"/>
        <w:gridCol w:w="285"/>
        <w:gridCol w:w="5472"/>
      </w:tblGrid>
      <w:tr w:rsidR="0042223B">
        <w:tblPrEx>
          <w:tblCellMar>
            <w:top w:w="0" w:type="dxa"/>
            <w:left w:w="0" w:type="dxa"/>
            <w:bottom w:w="0" w:type="dxa"/>
            <w:right w:w="0" w:type="dxa"/>
          </w:tblCellMar>
        </w:tblPrEx>
        <w:trPr>
          <w:trHeight w:val="522"/>
        </w:trPr>
        <w:tc>
          <w:tcPr>
            <w:tcW w:w="6088" w:type="dxa"/>
            <w:gridSpan w:val="3"/>
            <w:tcBorders>
              <w:top w:val="nil"/>
              <w:left w:val="nil"/>
              <w:bottom w:val="nil"/>
              <w:right w:val="nil"/>
            </w:tcBorders>
          </w:tcPr>
          <w:p w:rsidR="0042223B" w:rsidRDefault="0042223B" w:rsidP="00BD64CB">
            <w:pPr>
              <w:widowControl w:val="0"/>
              <w:autoSpaceDE w:val="0"/>
              <w:autoSpaceDN w:val="0"/>
              <w:adjustRightInd w:val="0"/>
              <w:jc w:val="both"/>
            </w:pPr>
            <w:r>
              <w:t>where</w:t>
            </w:r>
          </w:p>
        </w:tc>
      </w:tr>
      <w:tr w:rsidR="0042223B">
        <w:tblPrEx>
          <w:tblCellMar>
            <w:top w:w="0" w:type="dxa"/>
            <w:left w:w="0" w:type="dxa"/>
            <w:bottom w:w="0" w:type="dxa"/>
            <w:right w:w="0" w:type="dxa"/>
          </w:tblCellMar>
        </w:tblPrEx>
        <w:trPr>
          <w:trHeight w:val="513"/>
        </w:trPr>
        <w:tc>
          <w:tcPr>
            <w:tcW w:w="6088" w:type="dxa"/>
            <w:gridSpan w:val="3"/>
            <w:tcBorders>
              <w:top w:val="nil"/>
              <w:left w:val="nil"/>
              <w:bottom w:val="nil"/>
              <w:right w:val="nil"/>
            </w:tcBorders>
          </w:tcPr>
          <w:p w:rsidR="0042223B" w:rsidRDefault="0042223B" w:rsidP="00BD64CB">
            <w:pPr>
              <w:widowControl w:val="0"/>
              <w:autoSpaceDE w:val="0"/>
              <w:autoSpaceDN w:val="0"/>
              <w:adjustRightInd w:val="0"/>
              <w:jc w:val="both"/>
            </w:pPr>
            <w:r>
              <w:t>standard temperature for (</w:t>
            </w:r>
            <w:proofErr w:type="spellStart"/>
            <w:r>
              <w:t>gmole</w:t>
            </w:r>
            <w:proofErr w:type="spellEnd"/>
            <w:r>
              <w:t>/</w:t>
            </w:r>
            <w:proofErr w:type="spellStart"/>
            <w:r>
              <w:t>scm</w:t>
            </w:r>
            <w:proofErr w:type="spellEnd"/>
            <w:r>
              <w:t>) is 20° C.</w:t>
            </w:r>
          </w:p>
        </w:tc>
      </w:tr>
      <w:tr w:rsidR="0042223B">
        <w:tblPrEx>
          <w:tblCellMar>
            <w:top w:w="0" w:type="dxa"/>
            <w:left w:w="0" w:type="dxa"/>
            <w:bottom w:w="0" w:type="dxa"/>
            <w:right w:w="0" w:type="dxa"/>
          </w:tblCellMar>
        </w:tblPrEx>
        <w:trPr>
          <w:trHeight w:val="1368"/>
        </w:trPr>
        <w:tc>
          <w:tcPr>
            <w:tcW w:w="331" w:type="dxa"/>
            <w:tcBorders>
              <w:top w:val="nil"/>
              <w:left w:val="nil"/>
              <w:bottom w:val="nil"/>
              <w:right w:val="nil"/>
            </w:tcBorders>
          </w:tcPr>
          <w:p w:rsidR="0042223B" w:rsidRPr="0042223B" w:rsidRDefault="0042223B" w:rsidP="00BD64CB">
            <w:pPr>
              <w:widowControl w:val="0"/>
              <w:autoSpaceDE w:val="0"/>
              <w:autoSpaceDN w:val="0"/>
              <w:adjustRightInd w:val="0"/>
              <w:rPr>
                <w:vertAlign w:val="subscript"/>
              </w:rPr>
            </w:pPr>
            <w:proofErr w:type="spellStart"/>
            <w:r>
              <w:t>C</w:t>
            </w:r>
            <w:r>
              <w:rPr>
                <w:vertAlign w:val="subscript"/>
              </w:rPr>
              <w:t>i</w:t>
            </w:r>
            <w:proofErr w:type="spellEnd"/>
          </w:p>
        </w:tc>
        <w:tc>
          <w:tcPr>
            <w:tcW w:w="285" w:type="dxa"/>
            <w:tcBorders>
              <w:top w:val="nil"/>
              <w:left w:val="nil"/>
              <w:bottom w:val="nil"/>
              <w:right w:val="nil"/>
            </w:tcBorders>
          </w:tcPr>
          <w:p w:rsidR="0042223B" w:rsidRDefault="0042223B" w:rsidP="00BD64CB">
            <w:pPr>
              <w:widowControl w:val="0"/>
              <w:autoSpaceDE w:val="0"/>
              <w:autoSpaceDN w:val="0"/>
              <w:adjustRightInd w:val="0"/>
            </w:pPr>
            <w:r>
              <w:t>=</w:t>
            </w:r>
          </w:p>
        </w:tc>
        <w:tc>
          <w:tcPr>
            <w:tcW w:w="5472" w:type="dxa"/>
            <w:tcBorders>
              <w:top w:val="nil"/>
              <w:left w:val="nil"/>
              <w:bottom w:val="nil"/>
              <w:right w:val="nil"/>
            </w:tcBorders>
          </w:tcPr>
          <w:p w:rsidR="0042223B" w:rsidRDefault="0042223B" w:rsidP="0042223B">
            <w:pPr>
              <w:widowControl w:val="0"/>
              <w:autoSpaceDE w:val="0"/>
              <w:autoSpaceDN w:val="0"/>
              <w:adjustRightInd w:val="0"/>
            </w:pPr>
            <w:r>
              <w:t>Concentration of sample component i, in ppm, as measured by USEPA Reference Method 18, 40 CFR 60, Appendix A (1986), and ASTM D 2504-83, both incorporated by reference in Section 215.105.</w:t>
            </w:r>
          </w:p>
        </w:tc>
      </w:tr>
      <w:tr w:rsidR="0042223B">
        <w:tblPrEx>
          <w:tblCellMar>
            <w:top w:w="0" w:type="dxa"/>
            <w:left w:w="0" w:type="dxa"/>
            <w:bottom w:w="0" w:type="dxa"/>
            <w:right w:w="0" w:type="dxa"/>
          </w:tblCellMar>
        </w:tblPrEx>
        <w:tc>
          <w:tcPr>
            <w:tcW w:w="331" w:type="dxa"/>
            <w:tcBorders>
              <w:top w:val="nil"/>
              <w:left w:val="nil"/>
              <w:bottom w:val="nil"/>
              <w:right w:val="nil"/>
            </w:tcBorders>
          </w:tcPr>
          <w:p w:rsidR="0042223B" w:rsidRPr="002A1144" w:rsidRDefault="0042223B" w:rsidP="00BD64CB">
            <w:pPr>
              <w:widowControl w:val="0"/>
              <w:autoSpaceDE w:val="0"/>
              <w:autoSpaceDN w:val="0"/>
              <w:adjustRightInd w:val="0"/>
              <w:rPr>
                <w:vertAlign w:val="subscript"/>
              </w:rPr>
            </w:pPr>
            <w:r>
              <w:t>H</w:t>
            </w:r>
            <w:r w:rsidR="00471035">
              <w:rPr>
                <w:vertAlign w:val="subscript"/>
              </w:rPr>
              <w:t>i</w:t>
            </w:r>
          </w:p>
        </w:tc>
        <w:tc>
          <w:tcPr>
            <w:tcW w:w="285" w:type="dxa"/>
            <w:tcBorders>
              <w:top w:val="nil"/>
              <w:left w:val="nil"/>
              <w:bottom w:val="nil"/>
              <w:right w:val="nil"/>
            </w:tcBorders>
          </w:tcPr>
          <w:p w:rsidR="0042223B" w:rsidRDefault="0042223B" w:rsidP="00BD64CB">
            <w:pPr>
              <w:widowControl w:val="0"/>
              <w:autoSpaceDE w:val="0"/>
              <w:autoSpaceDN w:val="0"/>
              <w:adjustRightInd w:val="0"/>
            </w:pPr>
            <w:r>
              <w:t>=</w:t>
            </w:r>
          </w:p>
        </w:tc>
        <w:tc>
          <w:tcPr>
            <w:tcW w:w="5472" w:type="dxa"/>
            <w:tcBorders>
              <w:top w:val="nil"/>
              <w:left w:val="nil"/>
              <w:bottom w:val="nil"/>
              <w:right w:val="nil"/>
            </w:tcBorders>
          </w:tcPr>
          <w:p w:rsidR="0042223B" w:rsidRDefault="0042223B" w:rsidP="0042223B">
            <w:pPr>
              <w:widowControl w:val="0"/>
              <w:autoSpaceDE w:val="0"/>
              <w:autoSpaceDN w:val="0"/>
              <w:adjustRightInd w:val="0"/>
            </w:pPr>
            <w:r>
              <w:t xml:space="preserve">Net </w:t>
            </w:r>
            <w:r w:rsidR="00471035">
              <w:t>heat of combustion of sample component i, kcal/</w:t>
            </w:r>
            <w:proofErr w:type="spellStart"/>
            <w:r w:rsidR="00471035">
              <w:t>gmole</w:t>
            </w:r>
            <w:proofErr w:type="spellEnd"/>
            <w:r w:rsidR="00471035">
              <w:t>. The heats of combustion may be determined using ASTM D 2382-83, incorporated by reference in Section 215.105, if published values are not available or cannot be calculated.</w:t>
            </w:r>
          </w:p>
        </w:tc>
      </w:tr>
    </w:tbl>
    <w:p w:rsidR="0042223B" w:rsidRDefault="0042223B" w:rsidP="00647654">
      <w:pPr>
        <w:widowControl w:val="0"/>
        <w:autoSpaceDE w:val="0"/>
        <w:autoSpaceDN w:val="0"/>
        <w:adjustRightInd w:val="0"/>
      </w:pPr>
    </w:p>
    <w:p w:rsidR="00647654" w:rsidRDefault="00647654" w:rsidP="00647654">
      <w:pPr>
        <w:widowControl w:val="0"/>
        <w:autoSpaceDE w:val="0"/>
        <w:autoSpaceDN w:val="0"/>
        <w:adjustRightInd w:val="0"/>
        <w:ind w:left="2160" w:hanging="720"/>
      </w:pPr>
      <w:r>
        <w:t>5)</w:t>
      </w:r>
      <w:r>
        <w:tab/>
        <w:t xml:space="preserve">Steam-assisted and </w:t>
      </w:r>
      <w:proofErr w:type="spellStart"/>
      <w:r>
        <w:t>nonassisted</w:t>
      </w:r>
      <w:proofErr w:type="spellEnd"/>
      <w:r>
        <w:t xml:space="preserve"> flares shall be designed and operated with an exit velocity, as determined by dividing the volumetric </w:t>
      </w:r>
      <w:proofErr w:type="spellStart"/>
      <w:r>
        <w:t>flowrate</w:t>
      </w:r>
      <w:proofErr w:type="spellEnd"/>
      <w:r>
        <w:t xml:space="preserve"> (in units of standard temperature and pressure), as determined by USEPA Reference Method 2 or 2A, 40 CFR 60, Appendix A (1986) incorporated by reference in Section 215.105, as appropriate; by the unobstructed (free) cross sectional area of the flare tip, less than 18 m/sec (60 ft/sec.). </w:t>
      </w:r>
    </w:p>
    <w:p w:rsidR="00B76194" w:rsidRDefault="00B76194" w:rsidP="00471035">
      <w:pPr>
        <w:widowControl w:val="0"/>
        <w:autoSpaceDE w:val="0"/>
        <w:autoSpaceDN w:val="0"/>
        <w:adjustRightInd w:val="0"/>
        <w:ind w:left="2166" w:hanging="726"/>
      </w:pPr>
    </w:p>
    <w:p w:rsidR="00471035" w:rsidRDefault="00647654" w:rsidP="00471035">
      <w:pPr>
        <w:widowControl w:val="0"/>
        <w:autoSpaceDE w:val="0"/>
        <w:autoSpaceDN w:val="0"/>
        <w:adjustRightInd w:val="0"/>
        <w:ind w:left="2166" w:hanging="726"/>
      </w:pPr>
      <w:r>
        <w:t>6)</w:t>
      </w:r>
      <w:r>
        <w:tab/>
        <w:t xml:space="preserve">Air-assisted flares shall be designed and operated with an exit velocity less than the maximum permitted velocity, </w:t>
      </w:r>
      <w:proofErr w:type="spellStart"/>
      <w:r>
        <w:t>V</w:t>
      </w:r>
      <w:r w:rsidRPr="00471035">
        <w:rPr>
          <w:vertAlign w:val="subscript"/>
        </w:rPr>
        <w:t>max</w:t>
      </w:r>
      <w:proofErr w:type="spellEnd"/>
      <w:r>
        <w:t>, as determined by the following equation</w:t>
      </w:r>
      <w:r w:rsidR="00471035">
        <w:t>:</w:t>
      </w:r>
    </w:p>
    <w:p w:rsidR="00471035" w:rsidRDefault="00471035" w:rsidP="00471035">
      <w:pPr>
        <w:widowControl w:val="0"/>
        <w:autoSpaceDE w:val="0"/>
        <w:autoSpaceDN w:val="0"/>
        <w:adjustRightInd w:val="0"/>
        <w:ind w:left="2166" w:hanging="726"/>
      </w:pPr>
    </w:p>
    <w:tbl>
      <w:tblPr>
        <w:tblW w:w="0" w:type="auto"/>
        <w:tblInd w:w="2274" w:type="dxa"/>
        <w:tblLook w:val="0000" w:firstRow="0" w:lastRow="0" w:firstColumn="0" w:lastColumn="0" w:noHBand="0" w:noVBand="0"/>
      </w:tblPr>
      <w:tblGrid>
        <w:gridCol w:w="912"/>
        <w:gridCol w:w="399"/>
        <w:gridCol w:w="5991"/>
      </w:tblGrid>
      <w:tr w:rsidR="00471035">
        <w:tblPrEx>
          <w:tblCellMar>
            <w:top w:w="0" w:type="dxa"/>
            <w:bottom w:w="0" w:type="dxa"/>
          </w:tblCellMar>
        </w:tblPrEx>
        <w:tc>
          <w:tcPr>
            <w:tcW w:w="912" w:type="dxa"/>
          </w:tcPr>
          <w:p w:rsidR="00471035" w:rsidRPr="00471035" w:rsidRDefault="00471035" w:rsidP="00471035">
            <w:pPr>
              <w:widowControl w:val="0"/>
              <w:autoSpaceDE w:val="0"/>
              <w:autoSpaceDN w:val="0"/>
              <w:adjustRightInd w:val="0"/>
              <w:rPr>
                <w:vertAlign w:val="subscript"/>
              </w:rPr>
            </w:pPr>
            <w:proofErr w:type="spellStart"/>
            <w:r>
              <w:t>V</w:t>
            </w:r>
            <w:r>
              <w:rPr>
                <w:vertAlign w:val="subscript"/>
              </w:rPr>
              <w:t>max</w:t>
            </w:r>
            <w:proofErr w:type="spellEnd"/>
          </w:p>
        </w:tc>
        <w:tc>
          <w:tcPr>
            <w:tcW w:w="399" w:type="dxa"/>
          </w:tcPr>
          <w:p w:rsidR="00471035" w:rsidRDefault="00471035" w:rsidP="00471035">
            <w:pPr>
              <w:widowControl w:val="0"/>
              <w:autoSpaceDE w:val="0"/>
              <w:autoSpaceDN w:val="0"/>
              <w:adjustRightInd w:val="0"/>
            </w:pPr>
            <w:r>
              <w:t>=</w:t>
            </w:r>
          </w:p>
        </w:tc>
        <w:tc>
          <w:tcPr>
            <w:tcW w:w="5991" w:type="dxa"/>
          </w:tcPr>
          <w:p w:rsidR="00471035" w:rsidRDefault="00471035" w:rsidP="00471035">
            <w:pPr>
              <w:widowControl w:val="0"/>
              <w:autoSpaceDE w:val="0"/>
              <w:autoSpaceDN w:val="0"/>
              <w:adjustRightInd w:val="0"/>
            </w:pPr>
            <w:r>
              <w:t>Maximum permitted velocity, m/sec.</w:t>
            </w:r>
          </w:p>
        </w:tc>
      </w:tr>
      <w:tr w:rsidR="00471035">
        <w:tblPrEx>
          <w:tblCellMar>
            <w:top w:w="0" w:type="dxa"/>
            <w:bottom w:w="0" w:type="dxa"/>
          </w:tblCellMar>
        </w:tblPrEx>
        <w:tc>
          <w:tcPr>
            <w:tcW w:w="912" w:type="dxa"/>
          </w:tcPr>
          <w:p w:rsidR="00471035" w:rsidRDefault="00471035" w:rsidP="00471035">
            <w:pPr>
              <w:widowControl w:val="0"/>
              <w:autoSpaceDE w:val="0"/>
              <w:autoSpaceDN w:val="0"/>
              <w:adjustRightInd w:val="0"/>
            </w:pPr>
            <w:r>
              <w:t>8.706</w:t>
            </w:r>
          </w:p>
        </w:tc>
        <w:tc>
          <w:tcPr>
            <w:tcW w:w="399" w:type="dxa"/>
          </w:tcPr>
          <w:p w:rsidR="00471035" w:rsidRDefault="00471035" w:rsidP="00471035">
            <w:pPr>
              <w:widowControl w:val="0"/>
              <w:autoSpaceDE w:val="0"/>
              <w:autoSpaceDN w:val="0"/>
              <w:adjustRightInd w:val="0"/>
            </w:pPr>
            <w:r>
              <w:t>=</w:t>
            </w:r>
          </w:p>
        </w:tc>
        <w:tc>
          <w:tcPr>
            <w:tcW w:w="5991" w:type="dxa"/>
          </w:tcPr>
          <w:p w:rsidR="00471035" w:rsidRDefault="00471035" w:rsidP="00471035">
            <w:pPr>
              <w:widowControl w:val="0"/>
              <w:autoSpaceDE w:val="0"/>
              <w:autoSpaceDN w:val="0"/>
              <w:adjustRightInd w:val="0"/>
            </w:pPr>
            <w:r>
              <w:t>Constant.</w:t>
            </w:r>
          </w:p>
        </w:tc>
      </w:tr>
      <w:tr w:rsidR="00471035">
        <w:tblPrEx>
          <w:tblCellMar>
            <w:top w:w="0" w:type="dxa"/>
            <w:bottom w:w="0" w:type="dxa"/>
          </w:tblCellMar>
        </w:tblPrEx>
        <w:tc>
          <w:tcPr>
            <w:tcW w:w="912" w:type="dxa"/>
          </w:tcPr>
          <w:p w:rsidR="00471035" w:rsidRDefault="00471035" w:rsidP="00471035">
            <w:pPr>
              <w:widowControl w:val="0"/>
              <w:autoSpaceDE w:val="0"/>
              <w:autoSpaceDN w:val="0"/>
              <w:adjustRightInd w:val="0"/>
            </w:pPr>
            <w:r>
              <w:t>0.7084</w:t>
            </w:r>
          </w:p>
        </w:tc>
        <w:tc>
          <w:tcPr>
            <w:tcW w:w="399" w:type="dxa"/>
          </w:tcPr>
          <w:p w:rsidR="00471035" w:rsidRDefault="00471035" w:rsidP="00471035">
            <w:pPr>
              <w:widowControl w:val="0"/>
              <w:autoSpaceDE w:val="0"/>
              <w:autoSpaceDN w:val="0"/>
              <w:adjustRightInd w:val="0"/>
            </w:pPr>
            <w:r>
              <w:t>=</w:t>
            </w:r>
          </w:p>
        </w:tc>
        <w:tc>
          <w:tcPr>
            <w:tcW w:w="5991" w:type="dxa"/>
          </w:tcPr>
          <w:p w:rsidR="00471035" w:rsidRDefault="00471035" w:rsidP="00471035">
            <w:pPr>
              <w:widowControl w:val="0"/>
              <w:autoSpaceDE w:val="0"/>
              <w:autoSpaceDN w:val="0"/>
              <w:adjustRightInd w:val="0"/>
            </w:pPr>
            <w:r>
              <w:t>Constant.</w:t>
            </w:r>
          </w:p>
        </w:tc>
      </w:tr>
      <w:tr w:rsidR="00471035">
        <w:tblPrEx>
          <w:tblCellMar>
            <w:top w:w="0" w:type="dxa"/>
            <w:bottom w:w="0" w:type="dxa"/>
          </w:tblCellMar>
        </w:tblPrEx>
        <w:tc>
          <w:tcPr>
            <w:tcW w:w="912" w:type="dxa"/>
          </w:tcPr>
          <w:p w:rsidR="00471035" w:rsidRPr="00471035" w:rsidRDefault="00471035" w:rsidP="00471035">
            <w:pPr>
              <w:widowControl w:val="0"/>
              <w:autoSpaceDE w:val="0"/>
              <w:autoSpaceDN w:val="0"/>
              <w:adjustRightInd w:val="0"/>
              <w:rPr>
                <w:vertAlign w:val="subscript"/>
              </w:rPr>
            </w:pPr>
            <w:r>
              <w:t>H</w:t>
            </w:r>
            <w:r>
              <w:rPr>
                <w:vertAlign w:val="subscript"/>
              </w:rPr>
              <w:t>r</w:t>
            </w:r>
          </w:p>
        </w:tc>
        <w:tc>
          <w:tcPr>
            <w:tcW w:w="399" w:type="dxa"/>
          </w:tcPr>
          <w:p w:rsidR="00471035" w:rsidRDefault="00471035" w:rsidP="00471035">
            <w:pPr>
              <w:widowControl w:val="0"/>
              <w:autoSpaceDE w:val="0"/>
              <w:autoSpaceDN w:val="0"/>
              <w:adjustRightInd w:val="0"/>
            </w:pPr>
            <w:r>
              <w:t>=</w:t>
            </w:r>
          </w:p>
        </w:tc>
        <w:tc>
          <w:tcPr>
            <w:tcW w:w="5991" w:type="dxa"/>
          </w:tcPr>
          <w:p w:rsidR="00471035" w:rsidRDefault="00471035" w:rsidP="00471035">
            <w:pPr>
              <w:widowControl w:val="0"/>
              <w:autoSpaceDE w:val="0"/>
              <w:autoSpaceDN w:val="0"/>
              <w:adjustRightInd w:val="0"/>
            </w:pPr>
            <w:r>
              <w:t>The net heating value as determined in subsection (c)(4) of this section.</w:t>
            </w:r>
          </w:p>
        </w:tc>
      </w:tr>
    </w:tbl>
    <w:p w:rsidR="00647654" w:rsidRDefault="00647654" w:rsidP="00647654">
      <w:pPr>
        <w:widowControl w:val="0"/>
        <w:autoSpaceDE w:val="0"/>
        <w:autoSpaceDN w:val="0"/>
        <w:adjustRightInd w:val="0"/>
        <w:ind w:left="2880" w:hanging="720"/>
      </w:pPr>
    </w:p>
    <w:p w:rsidR="00647654" w:rsidRDefault="00647654" w:rsidP="00647654">
      <w:pPr>
        <w:widowControl w:val="0"/>
        <w:autoSpaceDE w:val="0"/>
        <w:autoSpaceDN w:val="0"/>
        <w:adjustRightInd w:val="0"/>
        <w:ind w:left="1440" w:hanging="720"/>
      </w:pPr>
      <w:r>
        <w:t>d)</w:t>
      </w:r>
      <w:r>
        <w:tab/>
        <w:t>If the control device is a closed container, it shall be designed and operated to reduce the volatile organic material emissions, vented from purged process fluid after transfer, to no detectable volatile organic material emissions as determined by USEPA Reference Method 21 as specified at 40 CFR 60, Appendix A (1986), incorporated by reference in Section 215.105.  For purposes of this Section, the phrase "after transfer" shall refer to the time at which the entire amount of purged process fluid resulting from a flushing or clea</w:t>
      </w:r>
      <w:r w:rsidR="00471035">
        <w:t>n</w:t>
      </w:r>
      <w:r>
        <w:t xml:space="preserve">ing of the sample line enters the closed container or containers including the final container(s) prior to disposal. </w:t>
      </w:r>
    </w:p>
    <w:p w:rsidR="00B76194" w:rsidRDefault="00B76194" w:rsidP="00647654">
      <w:pPr>
        <w:widowControl w:val="0"/>
        <w:autoSpaceDE w:val="0"/>
        <w:autoSpaceDN w:val="0"/>
        <w:adjustRightInd w:val="0"/>
        <w:ind w:left="1440" w:hanging="720"/>
      </w:pPr>
    </w:p>
    <w:p w:rsidR="00647654" w:rsidRDefault="00647654" w:rsidP="00647654">
      <w:pPr>
        <w:widowControl w:val="0"/>
        <w:autoSpaceDE w:val="0"/>
        <w:autoSpaceDN w:val="0"/>
        <w:adjustRightInd w:val="0"/>
        <w:ind w:left="1440" w:hanging="720"/>
      </w:pPr>
      <w:r>
        <w:t>e)</w:t>
      </w:r>
      <w:r>
        <w:tab/>
        <w:t xml:space="preserve">The owner or operator of a control device shall monitor the control device to ensure that it is operated and maintained in conformance with the manufacturer's specifications, modified to the particular process design. </w:t>
      </w:r>
    </w:p>
    <w:p w:rsidR="00B76194" w:rsidRDefault="00B76194" w:rsidP="00647654">
      <w:pPr>
        <w:widowControl w:val="0"/>
        <w:autoSpaceDE w:val="0"/>
        <w:autoSpaceDN w:val="0"/>
        <w:adjustRightInd w:val="0"/>
        <w:ind w:left="1440" w:hanging="720"/>
      </w:pPr>
    </w:p>
    <w:p w:rsidR="00647654" w:rsidRDefault="00647654" w:rsidP="00647654">
      <w:pPr>
        <w:widowControl w:val="0"/>
        <w:autoSpaceDE w:val="0"/>
        <w:autoSpaceDN w:val="0"/>
        <w:adjustRightInd w:val="0"/>
        <w:ind w:left="1440" w:hanging="720"/>
      </w:pPr>
      <w:r>
        <w:t>f)</w:t>
      </w:r>
      <w:r>
        <w:tab/>
        <w:t xml:space="preserve">The control device shall be operated at all times when emissions may be vented to it. </w:t>
      </w:r>
    </w:p>
    <w:p w:rsidR="00647654" w:rsidRDefault="00647654" w:rsidP="00647654">
      <w:pPr>
        <w:widowControl w:val="0"/>
        <w:autoSpaceDE w:val="0"/>
        <w:autoSpaceDN w:val="0"/>
        <w:adjustRightInd w:val="0"/>
        <w:ind w:left="1440" w:hanging="720"/>
      </w:pPr>
    </w:p>
    <w:p w:rsidR="00647654" w:rsidRDefault="00647654" w:rsidP="00471035">
      <w:pPr>
        <w:widowControl w:val="0"/>
        <w:autoSpaceDE w:val="0"/>
        <w:autoSpaceDN w:val="0"/>
        <w:adjustRightInd w:val="0"/>
        <w:ind w:left="741" w:hanging="21"/>
      </w:pPr>
      <w:r>
        <w:t xml:space="preserve">(Source:  Former Section 215.438 renumbered to Section 215.439, new Section 215.438 adopted at 13 Ill. Reg. 10893, effective June 27, 1989) </w:t>
      </w:r>
    </w:p>
    <w:sectPr w:rsidR="00647654" w:rsidSect="006476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7654"/>
    <w:rsid w:val="002A1144"/>
    <w:rsid w:val="002E2260"/>
    <w:rsid w:val="003020DE"/>
    <w:rsid w:val="0032235C"/>
    <w:rsid w:val="004037AC"/>
    <w:rsid w:val="0042223B"/>
    <w:rsid w:val="00471035"/>
    <w:rsid w:val="005C3366"/>
    <w:rsid w:val="00647654"/>
    <w:rsid w:val="00B76194"/>
    <w:rsid w:val="00BD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710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710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cp:lastPrinted>2002-11-19T22:51:00Z</cp:lastPrinted>
  <dcterms:created xsi:type="dcterms:W3CDTF">2012-06-21T19:25:00Z</dcterms:created>
  <dcterms:modified xsi:type="dcterms:W3CDTF">2012-06-21T19:25:00Z</dcterms:modified>
</cp:coreProperties>
</file>