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46" w:rsidRDefault="007D4A46" w:rsidP="007D4A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4A46" w:rsidRDefault="007D4A46" w:rsidP="007D4A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215.611  Exemption for Petroleum Solvent Dry Cleaners</w:t>
      </w:r>
      <w:r>
        <w:t xml:space="preserve"> </w:t>
      </w:r>
    </w:p>
    <w:p w:rsidR="007D4A46" w:rsidRDefault="007D4A46" w:rsidP="007D4A46">
      <w:pPr>
        <w:widowControl w:val="0"/>
        <w:autoSpaceDE w:val="0"/>
        <w:autoSpaceDN w:val="0"/>
        <w:adjustRightInd w:val="0"/>
      </w:pPr>
    </w:p>
    <w:p w:rsidR="007D4A46" w:rsidRDefault="007D4A46" w:rsidP="007D4A46">
      <w:pPr>
        <w:widowControl w:val="0"/>
        <w:autoSpaceDE w:val="0"/>
        <w:autoSpaceDN w:val="0"/>
        <w:adjustRightInd w:val="0"/>
      </w:pPr>
      <w:r>
        <w:t xml:space="preserve">The provisions of Sections 215.607 through 215.610 shall not apply to petroleum solvent dry cleaning facilities whose emissions of volatile organic material do not exceed 91 </w:t>
      </w:r>
      <w:proofErr w:type="spellStart"/>
      <w:r>
        <w:t>megagrams</w:t>
      </w:r>
      <w:proofErr w:type="spellEnd"/>
      <w:r>
        <w:t xml:space="preserve"> (100 tons) per year in the absence of pollution control equipment or whose emissions of volatile organic material, as limited by the operating permit, will not exceed 91 </w:t>
      </w:r>
      <w:proofErr w:type="spellStart"/>
      <w:r>
        <w:t>megagrams</w:t>
      </w:r>
      <w:proofErr w:type="spellEnd"/>
      <w:r>
        <w:t xml:space="preserve"> (100 tons) per year in the absence of pollution control equipment. </w:t>
      </w:r>
    </w:p>
    <w:p w:rsidR="007D4A46" w:rsidRDefault="007D4A46" w:rsidP="007D4A46">
      <w:pPr>
        <w:widowControl w:val="0"/>
        <w:autoSpaceDE w:val="0"/>
        <w:autoSpaceDN w:val="0"/>
        <w:adjustRightInd w:val="0"/>
      </w:pPr>
    </w:p>
    <w:p w:rsidR="007D4A46" w:rsidRDefault="007D4A46" w:rsidP="007D4A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7296, effective April 3, 1987) </w:t>
      </w:r>
    </w:p>
    <w:sectPr w:rsidR="007D4A46" w:rsidSect="007D4A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A46"/>
    <w:rsid w:val="005C3366"/>
    <w:rsid w:val="007D4A46"/>
    <w:rsid w:val="009C3278"/>
    <w:rsid w:val="00DC379B"/>
    <w:rsid w:val="00F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