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74" w:rsidRDefault="00E85D74" w:rsidP="00E85D74">
      <w:pPr>
        <w:widowControl w:val="0"/>
        <w:autoSpaceDE w:val="0"/>
        <w:autoSpaceDN w:val="0"/>
        <w:adjustRightInd w:val="0"/>
      </w:pPr>
      <w:bookmarkStart w:id="0" w:name="_GoBack"/>
      <w:bookmarkEnd w:id="0"/>
    </w:p>
    <w:p w:rsidR="00E85D74" w:rsidRPr="00A67A8F" w:rsidRDefault="00E85D74" w:rsidP="00E85D74">
      <w:pPr>
        <w:widowControl w:val="0"/>
        <w:autoSpaceDE w:val="0"/>
        <w:autoSpaceDN w:val="0"/>
        <w:adjustRightInd w:val="0"/>
        <w:rPr>
          <w:b/>
          <w:bCs/>
        </w:rPr>
      </w:pPr>
      <w:r>
        <w:rPr>
          <w:b/>
          <w:bCs/>
        </w:rPr>
        <w:t xml:space="preserve">Section 217.464  </w:t>
      </w:r>
      <w:r w:rsidR="00A67A8F" w:rsidRPr="00A67A8F">
        <w:rPr>
          <w:b/>
          <w:bCs/>
        </w:rPr>
        <w:t xml:space="preserve">Methodology for Determining </w:t>
      </w:r>
      <w:proofErr w:type="spellStart"/>
      <w:r w:rsidR="00A67A8F" w:rsidRPr="00A67A8F">
        <w:rPr>
          <w:b/>
          <w:bCs/>
        </w:rPr>
        <w:t>NO</w:t>
      </w:r>
      <w:r w:rsidR="00A67A8F" w:rsidRPr="00A67A8F">
        <w:rPr>
          <w:b/>
          <w:bCs/>
          <w:vertAlign w:val="subscript"/>
        </w:rPr>
        <w:t>x</w:t>
      </w:r>
      <w:proofErr w:type="spellEnd"/>
      <w:r w:rsidR="00A67A8F" w:rsidRPr="00A67A8F">
        <w:rPr>
          <w:b/>
          <w:bCs/>
        </w:rPr>
        <w:t xml:space="preserve"> Allowances from the New Source Set-Aside</w:t>
      </w:r>
    </w:p>
    <w:p w:rsidR="00E85D74" w:rsidRDefault="00E85D74" w:rsidP="00E85D74">
      <w:pPr>
        <w:widowControl w:val="0"/>
        <w:autoSpaceDE w:val="0"/>
        <w:autoSpaceDN w:val="0"/>
        <w:adjustRightInd w:val="0"/>
      </w:pPr>
    </w:p>
    <w:p w:rsidR="00E85D74" w:rsidRDefault="00E85D74" w:rsidP="00E85D74">
      <w:pPr>
        <w:widowControl w:val="0"/>
        <w:autoSpaceDE w:val="0"/>
        <w:autoSpaceDN w:val="0"/>
        <w:adjustRightInd w:val="0"/>
        <w:ind w:left="1440" w:hanging="720"/>
      </w:pPr>
      <w:r>
        <w:t>a)</w:t>
      </w:r>
      <w:r>
        <w:tab/>
        <w:t xml:space="preserve">The methodology for calculating the allowances available to be allocated to new budget units subject to this Subpart from the new source set-aside is based on the more stringent emission rate of 0.15 </w:t>
      </w:r>
      <w:proofErr w:type="spellStart"/>
      <w:r>
        <w:t>lb</w:t>
      </w:r>
      <w:r w:rsidR="004845A1">
        <w:t>s</w:t>
      </w:r>
      <w:proofErr w:type="spellEnd"/>
      <w:r>
        <w:t>/</w:t>
      </w:r>
      <w:proofErr w:type="spellStart"/>
      <w:r>
        <w:t>mmbtu</w:t>
      </w:r>
      <w:proofErr w:type="spellEnd"/>
      <w:r>
        <w:t xml:space="preserve"> or the permitted </w:t>
      </w:r>
      <w:proofErr w:type="spellStart"/>
      <w:r>
        <w:t>NO</w:t>
      </w:r>
      <w:r w:rsidR="004845A1">
        <w:rPr>
          <w:vertAlign w:val="subscript"/>
        </w:rPr>
        <w:t>x</w:t>
      </w:r>
      <w:proofErr w:type="spellEnd"/>
      <w:r w:rsidR="004845A1">
        <w:rPr>
          <w:vertAlign w:val="subscript"/>
        </w:rPr>
        <w:t xml:space="preserve"> </w:t>
      </w:r>
      <w:r>
        <w:t xml:space="preserve">emission rate, but not less than 0.055 </w:t>
      </w:r>
      <w:proofErr w:type="spellStart"/>
      <w:r>
        <w:t>lb</w:t>
      </w:r>
      <w:r w:rsidR="004845A1">
        <w:t>s</w:t>
      </w:r>
      <w:proofErr w:type="spellEnd"/>
      <w:r>
        <w:t>/</w:t>
      </w:r>
      <w:proofErr w:type="spellStart"/>
      <w:r>
        <w:t>mmbtu</w:t>
      </w:r>
      <w:proofErr w:type="spellEnd"/>
      <w:r>
        <w:t xml:space="preserve">. </w:t>
      </w:r>
    </w:p>
    <w:p w:rsidR="00DF6FC5" w:rsidRDefault="00DF6FC5" w:rsidP="00E85D74">
      <w:pPr>
        <w:widowControl w:val="0"/>
        <w:autoSpaceDE w:val="0"/>
        <w:autoSpaceDN w:val="0"/>
        <w:adjustRightInd w:val="0"/>
        <w:ind w:left="1440" w:hanging="720"/>
      </w:pPr>
    </w:p>
    <w:p w:rsidR="00E85D74" w:rsidRDefault="00E85D74" w:rsidP="00E85D74">
      <w:pPr>
        <w:widowControl w:val="0"/>
        <w:autoSpaceDE w:val="0"/>
        <w:autoSpaceDN w:val="0"/>
        <w:adjustRightInd w:val="0"/>
        <w:ind w:left="1440" w:hanging="720"/>
      </w:pPr>
      <w:r>
        <w:t>b)</w:t>
      </w:r>
      <w:r>
        <w:tab/>
        <w:t xml:space="preserve">The general equation for determining allowances is: </w:t>
      </w:r>
    </w:p>
    <w:p w:rsidR="004845A1" w:rsidRDefault="004845A1" w:rsidP="00E85D74">
      <w:pPr>
        <w:widowControl w:val="0"/>
        <w:autoSpaceDE w:val="0"/>
        <w:autoSpaceDN w:val="0"/>
        <w:adjustRightInd w:val="0"/>
        <w:ind w:left="1440" w:hanging="720"/>
      </w:pPr>
    </w:p>
    <w:p w:rsidR="004845A1" w:rsidRDefault="004845A1" w:rsidP="004845A1">
      <w:pPr>
        <w:widowControl w:val="0"/>
        <w:autoSpaceDE w:val="0"/>
        <w:autoSpaceDN w:val="0"/>
        <w:adjustRightInd w:val="0"/>
        <w:ind w:left="2166" w:hanging="15"/>
      </w:pPr>
      <w:r>
        <w:t>A =  HI x ER 2000</w:t>
      </w:r>
    </w:p>
    <w:p w:rsidR="004845A1" w:rsidRDefault="004845A1" w:rsidP="004845A1">
      <w:pPr>
        <w:widowControl w:val="0"/>
        <w:autoSpaceDE w:val="0"/>
        <w:autoSpaceDN w:val="0"/>
        <w:adjustRightInd w:val="0"/>
        <w:ind w:left="2166" w:hanging="15"/>
      </w:pPr>
    </w:p>
    <w:tbl>
      <w:tblPr>
        <w:tblW w:w="0" w:type="auto"/>
        <w:tblInd w:w="2196" w:type="dxa"/>
        <w:tblLook w:val="0000" w:firstRow="0" w:lastRow="0" w:firstColumn="0" w:lastColumn="0" w:noHBand="0" w:noVBand="0"/>
      </w:tblPr>
      <w:tblGrid>
        <w:gridCol w:w="1215"/>
        <w:gridCol w:w="387"/>
        <w:gridCol w:w="5778"/>
      </w:tblGrid>
      <w:tr w:rsidR="00E84B5E">
        <w:tblPrEx>
          <w:tblCellMar>
            <w:top w:w="0" w:type="dxa"/>
            <w:bottom w:w="0" w:type="dxa"/>
          </w:tblCellMar>
        </w:tblPrEx>
        <w:trPr>
          <w:trHeight w:val="774"/>
        </w:trPr>
        <w:tc>
          <w:tcPr>
            <w:tcW w:w="1215" w:type="dxa"/>
          </w:tcPr>
          <w:p w:rsidR="00E84B5E" w:rsidRDefault="00E84B5E" w:rsidP="004845A1">
            <w:pPr>
              <w:widowControl w:val="0"/>
              <w:autoSpaceDE w:val="0"/>
              <w:autoSpaceDN w:val="0"/>
              <w:adjustRightInd w:val="0"/>
              <w:ind w:right="-90"/>
            </w:pPr>
            <w:r>
              <w:t>Where HI</w:t>
            </w:r>
          </w:p>
        </w:tc>
        <w:tc>
          <w:tcPr>
            <w:tcW w:w="387" w:type="dxa"/>
          </w:tcPr>
          <w:p w:rsidR="00E84B5E" w:rsidRDefault="00E84B5E" w:rsidP="00E85D74">
            <w:pPr>
              <w:widowControl w:val="0"/>
              <w:autoSpaceDE w:val="0"/>
              <w:autoSpaceDN w:val="0"/>
              <w:adjustRightInd w:val="0"/>
            </w:pPr>
            <w:r>
              <w:t>=</w:t>
            </w:r>
          </w:p>
        </w:tc>
        <w:tc>
          <w:tcPr>
            <w:tcW w:w="5778" w:type="dxa"/>
          </w:tcPr>
          <w:p w:rsidR="00E84B5E" w:rsidRDefault="004845A1" w:rsidP="00E85D74">
            <w:pPr>
              <w:widowControl w:val="0"/>
              <w:autoSpaceDE w:val="0"/>
              <w:autoSpaceDN w:val="0"/>
              <w:adjustRightInd w:val="0"/>
            </w:pPr>
            <w:r>
              <w:t>h</w:t>
            </w:r>
            <w:r w:rsidR="00E84B5E">
              <w:t xml:space="preserve">eat input (in </w:t>
            </w:r>
            <w:proofErr w:type="spellStart"/>
            <w:r w:rsidR="00E84B5E">
              <w:t>mmbtu</w:t>
            </w:r>
            <w:proofErr w:type="spellEnd"/>
            <w:r w:rsidR="00E84B5E">
              <w:t>/control period) as determined in accordance with subsection © of this Section.</w:t>
            </w:r>
          </w:p>
        </w:tc>
      </w:tr>
      <w:tr w:rsidR="00E84B5E">
        <w:tblPrEx>
          <w:tblCellMar>
            <w:top w:w="0" w:type="dxa"/>
            <w:bottom w:w="0" w:type="dxa"/>
          </w:tblCellMar>
        </w:tblPrEx>
        <w:trPr>
          <w:trHeight w:val="801"/>
        </w:trPr>
        <w:tc>
          <w:tcPr>
            <w:tcW w:w="1215" w:type="dxa"/>
          </w:tcPr>
          <w:p w:rsidR="00E84B5E" w:rsidRDefault="00E84B5E" w:rsidP="004845A1">
            <w:pPr>
              <w:widowControl w:val="0"/>
              <w:autoSpaceDE w:val="0"/>
              <w:autoSpaceDN w:val="0"/>
              <w:adjustRightInd w:val="0"/>
              <w:ind w:right="-90"/>
            </w:pPr>
            <w:r>
              <w:t>Where ER</w:t>
            </w:r>
          </w:p>
        </w:tc>
        <w:tc>
          <w:tcPr>
            <w:tcW w:w="387" w:type="dxa"/>
          </w:tcPr>
          <w:p w:rsidR="00E84B5E" w:rsidRDefault="00E84B5E" w:rsidP="00E85D74">
            <w:pPr>
              <w:widowControl w:val="0"/>
              <w:autoSpaceDE w:val="0"/>
              <w:autoSpaceDN w:val="0"/>
              <w:adjustRightInd w:val="0"/>
            </w:pPr>
            <w:r>
              <w:t>=</w:t>
            </w:r>
          </w:p>
        </w:tc>
        <w:tc>
          <w:tcPr>
            <w:tcW w:w="5778" w:type="dxa"/>
          </w:tcPr>
          <w:p w:rsidR="00E84B5E" w:rsidRPr="00E84B5E" w:rsidRDefault="00E84B5E" w:rsidP="00E85D74">
            <w:pPr>
              <w:widowControl w:val="0"/>
              <w:autoSpaceDE w:val="0"/>
              <w:autoSpaceDN w:val="0"/>
              <w:adjustRightInd w:val="0"/>
            </w:pPr>
            <w:r>
              <w:t xml:space="preserve">The </w:t>
            </w:r>
            <w:proofErr w:type="spellStart"/>
            <w:r>
              <w:t>NO</w:t>
            </w:r>
            <w:r>
              <w:rPr>
                <w:vertAlign w:val="subscript"/>
              </w:rPr>
              <w:t>x</w:t>
            </w:r>
            <w:proofErr w:type="spellEnd"/>
            <w:r>
              <w:t xml:space="preserve"> emission rate in </w:t>
            </w:r>
            <w:proofErr w:type="spellStart"/>
            <w:r>
              <w:t>lbs</w:t>
            </w:r>
            <w:proofErr w:type="spellEnd"/>
            <w:r>
              <w:t>/</w:t>
            </w:r>
            <w:proofErr w:type="spellStart"/>
            <w:r>
              <w:t>mmbtu</w:t>
            </w:r>
            <w:proofErr w:type="spellEnd"/>
            <w:r>
              <w:t xml:space="preserve"> as determined in accordance with subsection (a) of this Section. </w:t>
            </w:r>
          </w:p>
        </w:tc>
      </w:tr>
      <w:tr w:rsidR="00E84B5E">
        <w:tblPrEx>
          <w:tblCellMar>
            <w:top w:w="0" w:type="dxa"/>
            <w:bottom w:w="0" w:type="dxa"/>
          </w:tblCellMar>
        </w:tblPrEx>
        <w:trPr>
          <w:trHeight w:val="288"/>
        </w:trPr>
        <w:tc>
          <w:tcPr>
            <w:tcW w:w="1215" w:type="dxa"/>
          </w:tcPr>
          <w:p w:rsidR="00E84B5E" w:rsidRDefault="00E84B5E" w:rsidP="004845A1">
            <w:pPr>
              <w:widowControl w:val="0"/>
              <w:autoSpaceDE w:val="0"/>
              <w:autoSpaceDN w:val="0"/>
              <w:adjustRightInd w:val="0"/>
              <w:ind w:right="-90"/>
            </w:pPr>
            <w:r>
              <w:t>Where A</w:t>
            </w:r>
          </w:p>
        </w:tc>
        <w:tc>
          <w:tcPr>
            <w:tcW w:w="387" w:type="dxa"/>
          </w:tcPr>
          <w:p w:rsidR="00E84B5E" w:rsidRDefault="00E84B5E" w:rsidP="00E85D74">
            <w:pPr>
              <w:widowControl w:val="0"/>
              <w:autoSpaceDE w:val="0"/>
              <w:autoSpaceDN w:val="0"/>
              <w:adjustRightInd w:val="0"/>
            </w:pPr>
            <w:r>
              <w:t>=</w:t>
            </w:r>
          </w:p>
        </w:tc>
        <w:tc>
          <w:tcPr>
            <w:tcW w:w="5778" w:type="dxa"/>
          </w:tcPr>
          <w:p w:rsidR="00E84B5E" w:rsidRPr="00E84B5E" w:rsidRDefault="004845A1" w:rsidP="00E85D74">
            <w:pPr>
              <w:widowControl w:val="0"/>
              <w:autoSpaceDE w:val="0"/>
              <w:autoSpaceDN w:val="0"/>
              <w:adjustRightInd w:val="0"/>
            </w:pPr>
            <w:r>
              <w:t>a</w:t>
            </w:r>
            <w:r w:rsidR="00E84B5E">
              <w:t xml:space="preserve">llowances of </w:t>
            </w:r>
            <w:proofErr w:type="spellStart"/>
            <w:r w:rsidR="00E84B5E">
              <w:t>NO</w:t>
            </w:r>
            <w:r w:rsidR="00E84B5E">
              <w:rPr>
                <w:vertAlign w:val="subscript"/>
              </w:rPr>
              <w:t>x</w:t>
            </w:r>
            <w:proofErr w:type="spellEnd"/>
            <w:r w:rsidR="00E84B5E" w:rsidRPr="00E84B5E">
              <w:t xml:space="preserve">/control </w:t>
            </w:r>
            <w:r w:rsidR="00E84B5E">
              <w:t xml:space="preserve">period. </w:t>
            </w:r>
          </w:p>
        </w:tc>
      </w:tr>
    </w:tbl>
    <w:p w:rsidR="00E85D74" w:rsidRDefault="00E85D74" w:rsidP="00E85D74">
      <w:pPr>
        <w:widowControl w:val="0"/>
        <w:autoSpaceDE w:val="0"/>
        <w:autoSpaceDN w:val="0"/>
        <w:adjustRightInd w:val="0"/>
        <w:ind w:left="1440" w:hanging="720"/>
      </w:pPr>
    </w:p>
    <w:p w:rsidR="00E85D74" w:rsidRDefault="00E85D74" w:rsidP="00E85D74">
      <w:pPr>
        <w:widowControl w:val="0"/>
        <w:autoSpaceDE w:val="0"/>
        <w:autoSpaceDN w:val="0"/>
        <w:adjustRightInd w:val="0"/>
        <w:ind w:left="1440" w:hanging="720"/>
      </w:pPr>
      <w:r>
        <w:t>c)</w:t>
      </w:r>
      <w:r>
        <w:tab/>
        <w:t xml:space="preserve">The projected heat input shall be determined as set forth below, divided by 2000 lbs/ton: </w:t>
      </w:r>
    </w:p>
    <w:p w:rsidR="00DF6FC5" w:rsidRDefault="00DF6FC5" w:rsidP="00E85D74">
      <w:pPr>
        <w:widowControl w:val="0"/>
        <w:autoSpaceDE w:val="0"/>
        <w:autoSpaceDN w:val="0"/>
        <w:adjustRightInd w:val="0"/>
        <w:ind w:left="2160" w:hanging="720"/>
      </w:pPr>
    </w:p>
    <w:p w:rsidR="00E85D74" w:rsidRDefault="00E85D74" w:rsidP="00E85D74">
      <w:pPr>
        <w:widowControl w:val="0"/>
        <w:autoSpaceDE w:val="0"/>
        <w:autoSpaceDN w:val="0"/>
        <w:adjustRightInd w:val="0"/>
        <w:ind w:left="2160" w:hanging="720"/>
      </w:pPr>
      <w:r>
        <w:t>1)</w:t>
      </w:r>
      <w:r>
        <w:tab/>
        <w:t xml:space="preserve">For "new" budget units subject to this Subpart that have seasonal heat input from at least 3 control periods prior to the allocation year, the average of the budget unit's 2 highest seasonal heat inputs from the control periods 1 to 3 years prior to the allocation year; </w:t>
      </w:r>
    </w:p>
    <w:p w:rsidR="00DF6FC5" w:rsidRDefault="00DF6FC5" w:rsidP="00E85D74">
      <w:pPr>
        <w:widowControl w:val="0"/>
        <w:autoSpaceDE w:val="0"/>
        <w:autoSpaceDN w:val="0"/>
        <w:adjustRightInd w:val="0"/>
        <w:ind w:left="2160" w:hanging="720"/>
      </w:pPr>
    </w:p>
    <w:p w:rsidR="00E85D74" w:rsidRDefault="00E85D74" w:rsidP="00E85D74">
      <w:pPr>
        <w:widowControl w:val="0"/>
        <w:autoSpaceDE w:val="0"/>
        <w:autoSpaceDN w:val="0"/>
        <w:adjustRightInd w:val="0"/>
        <w:ind w:left="2160" w:hanging="720"/>
      </w:pPr>
      <w:r>
        <w:t>2)</w:t>
      </w:r>
      <w:r>
        <w:tab/>
        <w:t xml:space="preserve">For "new" budget units subject to this Subpart that have seasonal heat input from only 2 control periods prior to the allocation year, the average of the budget unit's seasonal heat inputs from the control periods 1 and 2 years prior to the allocation year; </w:t>
      </w:r>
    </w:p>
    <w:p w:rsidR="00DF6FC5" w:rsidRDefault="00DF6FC5" w:rsidP="00E85D74">
      <w:pPr>
        <w:widowControl w:val="0"/>
        <w:autoSpaceDE w:val="0"/>
        <w:autoSpaceDN w:val="0"/>
        <w:adjustRightInd w:val="0"/>
        <w:ind w:left="2160" w:hanging="720"/>
      </w:pPr>
    </w:p>
    <w:p w:rsidR="00E85D74" w:rsidRDefault="00E85D74" w:rsidP="00E85D74">
      <w:pPr>
        <w:widowControl w:val="0"/>
        <w:autoSpaceDE w:val="0"/>
        <w:autoSpaceDN w:val="0"/>
        <w:adjustRightInd w:val="0"/>
        <w:ind w:left="2160" w:hanging="720"/>
      </w:pPr>
      <w:r>
        <w:t>3)</w:t>
      </w:r>
      <w:r>
        <w:tab/>
        <w:t xml:space="preserve">For "new" budget units subject to this Subpart that have seasonal heat input from only the control period prior to the allocation year, the heat input from that control period; or </w:t>
      </w:r>
    </w:p>
    <w:p w:rsidR="00DF6FC5" w:rsidRDefault="00DF6FC5" w:rsidP="00E85D74">
      <w:pPr>
        <w:widowControl w:val="0"/>
        <w:autoSpaceDE w:val="0"/>
        <w:autoSpaceDN w:val="0"/>
        <w:adjustRightInd w:val="0"/>
        <w:ind w:left="2160" w:hanging="720"/>
      </w:pPr>
    </w:p>
    <w:p w:rsidR="00E85D74" w:rsidRDefault="00E85D74" w:rsidP="00E85D74">
      <w:pPr>
        <w:widowControl w:val="0"/>
        <w:autoSpaceDE w:val="0"/>
        <w:autoSpaceDN w:val="0"/>
        <w:adjustRightInd w:val="0"/>
        <w:ind w:left="2160" w:hanging="720"/>
      </w:pPr>
      <w:r>
        <w:t>4)</w:t>
      </w:r>
      <w:r>
        <w:tab/>
        <w:t xml:space="preserve">For "new" budget units subject to this Subpart that have not operated for at least 77 days of the control period prior to the allocation year, the budget unit's maximum design heat input for the control period as designated in the construction permit. </w:t>
      </w:r>
    </w:p>
    <w:p w:rsidR="00E85D74" w:rsidRDefault="00E85D74" w:rsidP="00E85D74">
      <w:pPr>
        <w:widowControl w:val="0"/>
        <w:autoSpaceDE w:val="0"/>
        <w:autoSpaceDN w:val="0"/>
        <w:adjustRightInd w:val="0"/>
        <w:ind w:left="2160" w:hanging="720"/>
      </w:pPr>
    </w:p>
    <w:p w:rsidR="00E85D74" w:rsidRDefault="00E85D74" w:rsidP="00E85D74">
      <w:pPr>
        <w:widowControl w:val="0"/>
        <w:autoSpaceDE w:val="0"/>
        <w:autoSpaceDN w:val="0"/>
        <w:adjustRightInd w:val="0"/>
        <w:ind w:left="1440" w:hanging="720"/>
      </w:pPr>
      <w:r>
        <w:t xml:space="preserve">(Source:  Added at 25 Ill. Reg. 5914, effective April 17, 2001) </w:t>
      </w:r>
    </w:p>
    <w:sectPr w:rsidR="00E85D74" w:rsidSect="00E85D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5D74"/>
    <w:rsid w:val="00055DD0"/>
    <w:rsid w:val="00432EF3"/>
    <w:rsid w:val="004845A1"/>
    <w:rsid w:val="005C3366"/>
    <w:rsid w:val="00A67A8F"/>
    <w:rsid w:val="00AE756A"/>
    <w:rsid w:val="00DF6FC5"/>
    <w:rsid w:val="00E84B5E"/>
    <w:rsid w:val="00E8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