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57" w:rsidRDefault="005873EC" w:rsidP="005873EC">
      <w:pPr>
        <w:widowControl w:val="0"/>
        <w:rPr>
          <w:rFonts w:ascii="Times New Roman" w:hAnsi="Times New Roman"/>
          <w:b/>
          <w:color w:val="000000"/>
          <w:szCs w:val="24"/>
        </w:rPr>
      </w:pPr>
      <w:bookmarkStart w:id="0" w:name="_GoBack"/>
      <w:bookmarkEnd w:id="0"/>
      <w:r>
        <w:rPr>
          <w:rFonts w:ascii="Times New Roman" w:hAnsi="Times New Roman"/>
          <w:color w:val="000000"/>
          <w:szCs w:val="24"/>
        </w:rPr>
        <w:br w:type="page"/>
      </w:r>
      <w:r w:rsidR="005A1C57" w:rsidRPr="005A1C57">
        <w:rPr>
          <w:rFonts w:ascii="Times New Roman" w:hAnsi="Times New Roman"/>
          <w:b/>
          <w:color w:val="000000"/>
          <w:szCs w:val="24"/>
        </w:rPr>
        <w:lastRenderedPageBreak/>
        <w:t>Section 225.APPENDIX B   Continuous Emission Monitoring Systems for Mercury</w:t>
      </w:r>
    </w:p>
    <w:p w:rsidR="00E96CF5" w:rsidRDefault="00E96CF5" w:rsidP="005873EC">
      <w:pPr>
        <w:widowControl w:val="0"/>
        <w:rPr>
          <w:rFonts w:ascii="Times New Roman" w:hAnsi="Times New Roman"/>
          <w:b/>
          <w:color w:val="000000"/>
          <w:szCs w:val="24"/>
        </w:rPr>
      </w:pPr>
    </w:p>
    <w:p w:rsidR="005873EC" w:rsidRPr="005A1C57" w:rsidRDefault="005A1C57" w:rsidP="005873EC">
      <w:pPr>
        <w:widowControl w:val="0"/>
        <w:rPr>
          <w:rFonts w:ascii="Times New Roman" w:hAnsi="Times New Roman"/>
          <w:b/>
          <w:color w:val="000000"/>
          <w:szCs w:val="24"/>
        </w:rPr>
      </w:pPr>
      <w:r>
        <w:rPr>
          <w:rFonts w:ascii="Times New Roman" w:hAnsi="Times New Roman"/>
          <w:b/>
          <w:color w:val="000000"/>
          <w:szCs w:val="24"/>
        </w:rPr>
        <w:t>Section 22</w:t>
      </w:r>
      <w:r w:rsidR="00E96CF5">
        <w:rPr>
          <w:rFonts w:ascii="Times New Roman" w:hAnsi="Times New Roman"/>
          <w:b/>
          <w:color w:val="000000"/>
          <w:szCs w:val="24"/>
        </w:rPr>
        <w:t>5</w:t>
      </w:r>
      <w:r>
        <w:rPr>
          <w:rFonts w:ascii="Times New Roman" w:hAnsi="Times New Roman"/>
          <w:b/>
          <w:color w:val="000000"/>
          <w:szCs w:val="24"/>
        </w:rPr>
        <w:t>.</w:t>
      </w:r>
      <w:hyperlink r:id="rId7" w:history="1">
        <w:r w:rsidR="005873EC" w:rsidRPr="005A1C57">
          <w:rPr>
            <w:rFonts w:ascii="Times New Roman" w:hAnsi="Times New Roman"/>
            <w:b/>
            <w:bCs/>
            <w:color w:val="000000"/>
            <w:szCs w:val="24"/>
          </w:rPr>
          <w:t>E</w:t>
        </w:r>
        <w:r>
          <w:rPr>
            <w:rFonts w:ascii="Times New Roman" w:hAnsi="Times New Roman"/>
            <w:b/>
            <w:bCs/>
            <w:color w:val="000000"/>
            <w:szCs w:val="24"/>
          </w:rPr>
          <w:t>XHIBIT</w:t>
        </w:r>
        <w:r w:rsidR="005873EC" w:rsidRPr="005A1C57">
          <w:rPr>
            <w:rFonts w:ascii="Times New Roman" w:hAnsi="Times New Roman"/>
            <w:b/>
            <w:bCs/>
            <w:color w:val="000000"/>
            <w:szCs w:val="24"/>
          </w:rPr>
          <w:t xml:space="preserve"> D   Quality Assurance and Operating Procedures for Sorbent Trap Monitoring Systems</w:t>
        </w:r>
      </w:hyperlink>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1.0 Scope and Application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This Exhibit specifies sampling, and analytical, and quality-assurance criteria and procedures for the performance-based monitoring of vapor-phase mercury (Hg) emissions in combustion flue gas streams, using a sorbent trap monitoring system (as defined in Section 225.130). The principle employed is continuous sampling using in-stack sorbent media coupled with analysis of the integrated samples. The performance-based approach of this Exhibit allows for use of various suitable sampling and analytical technologies while maintaining a specified and documented level of data quality through performance criteria. Persons using this Exhibit should have a thorough working knowledge of Methods 1, 2, 3, 4 and 5 in appendices A-1 through A-3 to 40 CFR 60, incorporated by reference in Section 225.140, as well as the determinative technique selected for analysis.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 w:name="Document1zzSDUNumber1122"/>
      <w:bookmarkEnd w:id="1"/>
      <w:r>
        <w:rPr>
          <w:rFonts w:ascii="Times New Roman" w:hAnsi="Times New Roman"/>
          <w:color w:val="000000"/>
          <w:szCs w:val="24"/>
        </w:rPr>
        <w:t>1.1 Analytes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The analyte measured by these procedures and specifications is total vapor-phase mercury in the flue gas, which represents the sum of elemental mercury (Hg</w:t>
      </w:r>
      <w:r w:rsidRPr="00556FD5">
        <w:rPr>
          <w:rFonts w:ascii="Times New Roman" w:hAnsi="Times New Roman"/>
          <w:color w:val="000000"/>
          <w:szCs w:val="24"/>
          <w:vertAlign w:val="superscript"/>
        </w:rPr>
        <w:t>0</w:t>
      </w:r>
      <w:r w:rsidRPr="00556FD5">
        <w:rPr>
          <w:rFonts w:ascii="Times New Roman" w:hAnsi="Times New Roman"/>
          <w:color w:val="000000"/>
          <w:szCs w:val="24"/>
        </w:rPr>
        <w:t>, CAS Number 7439-97-6) and oxidized forms of mercury, in mass concentration units of micrograms per dry standard cubic meter (µg/dscm).</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1.2 Applicability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These performance criteria and procedures are applicable to monitoring of vapor-phase mercury emissions under relatively low-dust conditions (i.e., sampling in the stack after all pollution control devices), from coal-fired electric utility steam generators which are subject to Sections 1.14 through 1.18 of Appendix B. Individual sample collection times can range from 30 minutes to several days in duration, depending on the mercury concentration in the stack. The monitoring system must achieve the performance criteria specified in </w:t>
      </w:r>
      <w:hyperlink r:id="rId8" w:history="1">
        <w:r w:rsidRPr="00556FD5">
          <w:rPr>
            <w:szCs w:val="24"/>
            <w:u w:val="none"/>
          </w:rPr>
          <w:t>Section 8</w:t>
        </w:r>
      </w:hyperlink>
      <w:r w:rsidRPr="00556FD5">
        <w:rPr>
          <w:szCs w:val="24"/>
          <w:u w:val="none"/>
        </w:rPr>
        <w:t xml:space="preserve"> of this Exhibit and the sorbent media capture ability must not be exceeded. The sampling rate must be maintained at a constant proportion to the total stack </w:t>
      </w:r>
      <w:bookmarkStart w:id="2" w:name="Document1zzSDUNumber1123"/>
      <w:bookmarkEnd w:id="2"/>
      <w:r w:rsidRPr="00556FD5">
        <w:rPr>
          <w:szCs w:val="24"/>
          <w:u w:val="none"/>
        </w:rPr>
        <w:t>flow rate to ensure representativeness of the sample collected. Failure to achieve certain performance criteria will result in invalid mercury emissions monitoring data.</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2.0 Principle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Known volumes of flue gas are extracted from a stack or duct through paired, in-stack, pre-spiked sorbent media traps at an appropriate nominal flow rate. Collection of mercury on the sorbent media in the stack mitigates potential loss of mercury during transport through a probe/sample line. Paired train sampling is required to determine measurement precision and verify acceptability of the measured emissions data.</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lastRenderedPageBreak/>
        <w:t>The sorbent traps are recovered from the sampling system, prepared for analysis, as needed, and analyzed by any suitable determinative technique that can meet the performance criteria. A section of each sorbent trap is spiked with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prior to sampling. </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3" w:name="Document1zzSDUNumber1124"/>
      <w:bookmarkEnd w:id="3"/>
      <w:r w:rsidRPr="00556FD5">
        <w:rPr>
          <w:rFonts w:ascii="Times New Roman" w:hAnsi="Times New Roman"/>
          <w:color w:val="000000"/>
          <w:szCs w:val="24"/>
        </w:rPr>
        <w:t>3.0 C</w:t>
      </w:r>
      <w:r>
        <w:rPr>
          <w:rFonts w:ascii="Times New Roman" w:hAnsi="Times New Roman"/>
          <w:color w:val="000000"/>
          <w:szCs w:val="24"/>
        </w:rPr>
        <w:t>lean Handling and Contamination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To avoid mercury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mercury.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4.0 Safety</w:t>
      </w:r>
    </w:p>
    <w:p w:rsidR="005873EC" w:rsidRPr="00556FD5" w:rsidRDefault="005873EC" w:rsidP="005873EC">
      <w:pPr>
        <w:widowControl w:val="0"/>
        <w:jc w:val="center"/>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4.1 Site hazards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Site hazards must be thoroughly considered in advance of applying these procedures/</w:t>
      </w:r>
      <w:r w:rsidR="000E2FA0">
        <w:rPr>
          <w:szCs w:val="24"/>
          <w:u w:val="none"/>
        </w:rPr>
        <w:t xml:space="preserve"> </w:t>
      </w:r>
      <w:r w:rsidRPr="00556FD5">
        <w:rPr>
          <w:szCs w:val="24"/>
          <w:u w:val="none"/>
        </w:rPr>
        <w:t xml:space="preserve">specifications in the field; advance coordination with the site is critical to understand the conditions and applicable safety policies. At a minimum, portions of the sampling system will be hot, requiring appropriate </w:t>
      </w:r>
      <w:bookmarkStart w:id="4" w:name="Document1zzSDUNumber1125"/>
      <w:bookmarkEnd w:id="4"/>
      <w:r w:rsidRPr="00556FD5">
        <w:rPr>
          <w:szCs w:val="24"/>
          <w:u w:val="none"/>
        </w:rPr>
        <w:t>gloves, long sleeves, and caution in handling this equipment.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4.2 Laboratory safety policies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Laboratory safety policies should be in place to minimize risk of chemical exposure and to properly handle waste disposal. Personnel must wear appropriate laboratory attire according to a Chemical Hygiene Plan established by the laboratory.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4.3 Toxicity or carcinogenicity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The toxicity or carcinogenicity of any reagents used must be considered. Depending upon the sampling and analytical technologies selected, this measurement may involve hazardous materials, operations, and equipment and this Exhibit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w:t>
      </w:r>
      <w:bookmarkStart w:id="5" w:name="Document1zzSDUNumber1126"/>
      <w:bookmarkEnd w:id="5"/>
      <w:r w:rsidRPr="00556FD5">
        <w:rPr>
          <w:szCs w:val="24"/>
          <w:u w:val="none"/>
        </w:rPr>
        <w:t>potential health hazard and exposure to these compounds should be minimized. Chemists should refer to the Material Safety Data Sheet (MSDS) for each chemical used.</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4.4 Wastes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Any wastes generated by this procedure must be disposed of according to a hazardous materials management plan that details and tracks various waste streams and disposal procedures.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5.0 Eq</w:t>
      </w:r>
      <w:r>
        <w:rPr>
          <w:rFonts w:ascii="Times New Roman" w:hAnsi="Times New Roman"/>
          <w:color w:val="000000"/>
          <w:szCs w:val="24"/>
        </w:rPr>
        <w:t>uipment and Supplies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The following list is presented as an example of key equipment and supplies likely required to perform vapor-phase mercury monitoring using a sorbent trap monitoring system. It is recognized that additional equipment and supplies may be needed. Collection of paired samples is required. Also required are a certified stack gas volumetric flow monitor that meets the requirements of Section 1.2 to Appendix </w:t>
      </w:r>
      <w:r w:rsidR="000E2FA0">
        <w:rPr>
          <w:szCs w:val="24"/>
          <w:u w:val="none"/>
        </w:rPr>
        <w:t xml:space="preserve">B </w:t>
      </w:r>
      <w:r w:rsidRPr="00556FD5">
        <w:rPr>
          <w:szCs w:val="24"/>
          <w:u w:val="none"/>
        </w:rPr>
        <w:t xml:space="preserve">and an acceptable means of correcting for the stack gas moisture content, </w:t>
      </w:r>
      <w:bookmarkStart w:id="6" w:name="Document1zzSDUNumber1127"/>
      <w:bookmarkEnd w:id="6"/>
      <w:r w:rsidRPr="00556FD5">
        <w:rPr>
          <w:szCs w:val="24"/>
          <w:u w:val="none"/>
        </w:rPr>
        <w:t xml:space="preserve">i.e., either by using data from a certified continuous moisture monitoring system or by using an approved default moisture value (see </w:t>
      </w:r>
      <w:hyperlink r:id="rId9" w:history="1">
        <w:r w:rsidRPr="00556FD5">
          <w:rPr>
            <w:szCs w:val="24"/>
            <w:u w:val="none"/>
          </w:rPr>
          <w:t>40 CFR 75.11(b)</w:t>
        </w:r>
      </w:hyperlink>
      <w:r w:rsidRPr="00556FD5">
        <w:rPr>
          <w:szCs w:val="24"/>
          <w:u w:val="none"/>
        </w:rPr>
        <w:t>, incorporated by reference in Section 225.140).</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5.1 Sorbent Trap Monitoring System</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A typical sorbent trap monitoring system is shown in Figure K-1. The monitoring system must include the following components: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5.1.1 Sorbent Traps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 xml:space="preserve">The sorbent media used to collect mercury must be configured in a trap with three distinct and identical segments or sections, connected in series, that are amenable to separate analyses. </w:t>
      </w:r>
      <w:hyperlink r:id="rId10"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is designated for primary capture of gaseous mercury. </w:t>
      </w:r>
      <w:hyperlink r:id="rId11" w:history="1">
        <w:r w:rsidRPr="00556FD5">
          <w:rPr>
            <w:rFonts w:ascii="Times New Roman" w:hAnsi="Times New Roman"/>
            <w:color w:val="000000"/>
            <w:szCs w:val="24"/>
          </w:rPr>
          <w:t>Section 2</w:t>
        </w:r>
      </w:hyperlink>
      <w:r w:rsidRPr="00556FD5">
        <w:rPr>
          <w:rFonts w:ascii="Times New Roman" w:hAnsi="Times New Roman"/>
          <w:color w:val="000000"/>
          <w:szCs w:val="24"/>
        </w:rPr>
        <w:t xml:space="preserve"> is designated as a backup section for determination of vapor-phase mercury breakthrough. </w:t>
      </w:r>
      <w:hyperlink r:id="rId12"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is designated for QA/QC purposes where this section must be spiked with a known amount of gaseous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prior to sampling and later analyzed to determine recovery efficiency. The sorbent media may be any collection material (e.g., carbon, chemically-treated filter, </w:t>
      </w:r>
      <w:bookmarkStart w:id="7" w:name="Document1zzSDUNumber1128"/>
      <w:bookmarkEnd w:id="7"/>
      <w:r w:rsidRPr="00556FD5">
        <w:rPr>
          <w:rFonts w:ascii="Times New Roman" w:hAnsi="Times New Roman"/>
          <w:color w:val="000000"/>
          <w:szCs w:val="24"/>
        </w:rPr>
        <w:t xml:space="preserve">etc.) capable of quantitatively capturing and recovering for subsequent analysis, all gaseous forms of mercury for the intended application. Selection of the sorbent media must be based on the material's ability to achieve the performance criteria contained in </w:t>
      </w:r>
      <w:hyperlink r:id="rId13" w:history="1">
        <w:r w:rsidRPr="00556FD5">
          <w:rPr>
            <w:rFonts w:ascii="Times New Roman" w:hAnsi="Times New Roman"/>
            <w:color w:val="000000"/>
            <w:szCs w:val="24"/>
          </w:rPr>
          <w:t>Section 8</w:t>
        </w:r>
      </w:hyperlink>
      <w:r w:rsidRPr="00556FD5">
        <w:rPr>
          <w:rFonts w:ascii="Times New Roman" w:hAnsi="Times New Roman"/>
          <w:color w:val="000000"/>
          <w:szCs w:val="24"/>
        </w:rPr>
        <w:t xml:space="preserve"> of this Exhibit as well as the sorbent's vapor-phase mercury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5.1</w:t>
      </w:r>
      <w:r>
        <w:rPr>
          <w:rFonts w:ascii="Times New Roman" w:hAnsi="Times New Roman"/>
          <w:color w:val="000000"/>
          <w:szCs w:val="24"/>
        </w:rPr>
        <w:t>.2 Sampling Probe Assembly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Each probe assembly must have a leak-free Exhibit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w:t>
      </w:r>
      <w:bookmarkStart w:id="8" w:name="Document1zzSDUNumber1129"/>
      <w:bookmarkEnd w:id="8"/>
      <w:r w:rsidRPr="00556FD5">
        <w:rPr>
          <w:szCs w:val="24"/>
          <w:u w:val="none"/>
        </w:rPr>
        <w:t>thermocouple to monitor the stack temperature. A single probe capable of operating the paired sorbent traps may be used. Alternatively, individual probe/sorbent trap assemblies may be used, provided that the individual sorbent traps are co-located to ensure representative mercury monitoring and are sufficiently separated to prevent aerodynamic interference.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5.1.3 Moisture Removal Device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A robust moisture removal device or system, suitable for continuous duty (such as a Peltier cooler), must be used to remove water vapor from the gas stream prior to entering the gas flow 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5.1.4 Vacuum Pump</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Use a leak-tight, vacuum pump capable of operating within the candidate system's flow range.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9" w:name="Document1zzSDUNumber1130"/>
      <w:bookmarkEnd w:id="9"/>
      <w:r w:rsidRPr="00556FD5">
        <w:rPr>
          <w:rFonts w:ascii="Times New Roman" w:hAnsi="Times New Roman"/>
          <w:color w:val="000000"/>
          <w:szCs w:val="24"/>
        </w:rPr>
        <w:t>5.1.5 Gas Flow 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A gas flow meter (such as a dry gas meter, thermal mass flow meter, or other suitable measurement device) must be used to determine the total sample volume on a dry basis, in units of standard cubic meters. The meter must be sufficiently accurate to measure the total sample volume to within 2 percent and must be calibrated at selected flow rates across the range of sample flow rates at which the sorbent trap monitoring system typically operates. The gas flow meter must be equipped with any necessary auxiliary measurement devices (e.g., temperature sensors, pressure measurement devices) needed to correct the sample volume to standard conditions.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5.1.6 Sample</w:t>
      </w:r>
      <w:r>
        <w:rPr>
          <w:rFonts w:ascii="Times New Roman" w:hAnsi="Times New Roman"/>
          <w:color w:val="000000"/>
          <w:szCs w:val="24"/>
        </w:rPr>
        <w:t xml:space="preserve"> Flow Rate Meter and Controller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Use a flow rate indicator and controller for maintaining necessary sampling flow rates.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5.1.7 Temperature Sensor</w:t>
      </w:r>
    </w:p>
    <w:p w:rsidR="005873EC" w:rsidRPr="00556FD5" w:rsidRDefault="005873EC" w:rsidP="005873EC">
      <w:pPr>
        <w:widowControl w:val="0"/>
        <w:rPr>
          <w:rFonts w:ascii="Times New Roman" w:hAnsi="Times New Roman"/>
          <w:color w:val="000000"/>
          <w:szCs w:val="24"/>
        </w:rPr>
      </w:pPr>
      <w:bookmarkStart w:id="10" w:name="Document1zzSDUNumber1131"/>
      <w:bookmarkEnd w:id="10"/>
    </w:p>
    <w:p w:rsidR="005873EC" w:rsidRPr="00556FD5" w:rsidRDefault="005873EC" w:rsidP="005873EC">
      <w:pPr>
        <w:pStyle w:val="BodyText3"/>
        <w:rPr>
          <w:szCs w:val="24"/>
          <w:u w:val="none"/>
        </w:rPr>
      </w:pPr>
      <w:r w:rsidRPr="00556FD5">
        <w:rPr>
          <w:szCs w:val="24"/>
          <w:u w:val="none"/>
        </w:rPr>
        <w:t>Same as Section 6.1.1.7 of Method 5 in appendix A-3 to 40 CFR 60, incorporated by reference in Section 225.140.</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5.1.8 Barometer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Same as Section 6.1.2 of Method 5 in appendix A-3 to 40 CFR 60, incorporated by reference in Section 225.140.</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5.1.9 Data Logger (Optional)</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Device for recording associated and necessary ancillary information (e.g., temperatures, pressures, flow, time, etc.).</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5.2 Gaseous Hg</w:t>
      </w:r>
      <w:r w:rsidRPr="00556FD5">
        <w:rPr>
          <w:rFonts w:ascii="Times New Roman" w:hAnsi="Times New Roman"/>
          <w:color w:val="000000"/>
          <w:szCs w:val="24"/>
          <w:vertAlign w:val="superscript"/>
        </w:rPr>
        <w:t>0</w:t>
      </w:r>
      <w:r>
        <w:rPr>
          <w:rFonts w:ascii="Times New Roman" w:hAnsi="Times New Roman"/>
          <w:color w:val="000000"/>
          <w:szCs w:val="24"/>
        </w:rPr>
        <w:t xml:space="preserve"> Sorbent Trap Spiking System</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A known mass of gaseous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must be spiked onto </w:t>
      </w:r>
      <w:hyperlink r:id="rId14"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of each sorbent trap prior to sampling. Any approach capable of quantitatively delivering known masses of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onto sorbent traps is acceptable. Several technologies </w:t>
      </w:r>
      <w:bookmarkStart w:id="11" w:name="Document1zzSDUNumber1132"/>
      <w:bookmarkEnd w:id="11"/>
      <w:r w:rsidRPr="00556FD5">
        <w:rPr>
          <w:rFonts w:ascii="Times New Roman" w:hAnsi="Times New Roman"/>
          <w:color w:val="000000"/>
          <w:szCs w:val="24"/>
        </w:rPr>
        <w:t>or devices are available to meet this objective. Their practicality is a function of mercury mass spike levels. For low levels, NIST-certified or NIST-traceable gas generators or tanks may be suitable, but will likely require long preparation times. A more practical, alternative system, capable of delivering almost any mass required, makes use of NIST-certified or NIST-traceable mercury salt solutions (e.g., Hg(NO</w:t>
      </w:r>
      <w:r w:rsidRPr="000E2FA0">
        <w:rPr>
          <w:rFonts w:ascii="Times New Roman" w:hAnsi="Times New Roman"/>
          <w:color w:val="000000"/>
          <w:szCs w:val="24"/>
          <w:vertAlign w:val="subscript"/>
        </w:rPr>
        <w:t>3</w:t>
      </w:r>
      <w:r w:rsidRPr="00556FD5">
        <w:rPr>
          <w:rFonts w:ascii="Times New Roman" w:hAnsi="Times New Roman"/>
          <w:color w:val="000000"/>
          <w:szCs w:val="24"/>
        </w:rPr>
        <w:t>)2). With this system, an aliquot of known volume and concentration is added to a reaction vessel containing a reducing agent (e.g., stannous chloride); the mercury salt solution is reduced to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and purged onto section 3 of the sorbent trap using an impinger sparging system.</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5.3 Sample Analysis Equipment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Any analytical system capable of quantitatively recovering and quantifying total gaseous mercury from sorbent media is acceptable provided that the analysis can meet the performance criteria in </w:t>
      </w:r>
      <w:hyperlink r:id="rId15" w:history="1">
        <w:r w:rsidRPr="00556FD5">
          <w:rPr>
            <w:szCs w:val="24"/>
            <w:u w:val="none"/>
          </w:rPr>
          <w:t>Section 8</w:t>
        </w:r>
      </w:hyperlink>
      <w:r w:rsidRPr="00556FD5">
        <w:rPr>
          <w:szCs w:val="24"/>
          <w:u w:val="none"/>
        </w:rPr>
        <w:t xml:space="preserve"> of this procedure. Candidate recovery techniques include leaching, digestion, and thermal desorption. Candidate analytical techniques include ultraviolet atomic fluorescence (UV AF); ultraviolet atomic absorption (UV AA), with an</w:t>
      </w:r>
      <w:r>
        <w:rPr>
          <w:szCs w:val="24"/>
          <w:u w:val="none"/>
        </w:rPr>
        <w:t>d without gold trapping; and in-</w:t>
      </w:r>
      <w:r w:rsidRPr="00556FD5">
        <w:rPr>
          <w:szCs w:val="24"/>
          <w:u w:val="none"/>
        </w:rPr>
        <w:t>situ X-ray fluorescence (XRF) analysis.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2" w:name="Document1zzSDUNumber1133"/>
      <w:bookmarkEnd w:id="12"/>
      <w:r>
        <w:rPr>
          <w:rFonts w:ascii="Times New Roman" w:hAnsi="Times New Roman"/>
          <w:color w:val="000000"/>
          <w:szCs w:val="24"/>
        </w:rPr>
        <w:t>6.0 Reagents and Standards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Only NIST-certified or NIST-traceable calibration gas standards and reagents must be used for the tests and procedures required under this Exhibit.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 xml:space="preserve">7.0 </w:t>
      </w:r>
      <w:r>
        <w:rPr>
          <w:rFonts w:ascii="Times New Roman" w:hAnsi="Times New Roman"/>
          <w:color w:val="000000"/>
          <w:szCs w:val="24"/>
        </w:rPr>
        <w:t>Sample Collection and Transport</w:t>
      </w:r>
    </w:p>
    <w:p w:rsidR="005873EC" w:rsidRPr="00556FD5" w:rsidRDefault="005873EC" w:rsidP="005873EC">
      <w:pPr>
        <w:widowControl w:val="0"/>
        <w:jc w:val="center"/>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7.1 Pre</w:t>
      </w:r>
      <w:r>
        <w:rPr>
          <w:rFonts w:ascii="Times New Roman" w:hAnsi="Times New Roman"/>
          <w:color w:val="000000"/>
          <w:szCs w:val="24"/>
        </w:rPr>
        <w:t>-Test Procedures</w:t>
      </w:r>
    </w:p>
    <w:p w:rsidR="005873EC" w:rsidRPr="00556FD5" w:rsidRDefault="005873EC" w:rsidP="005873EC">
      <w:pPr>
        <w:widowControl w:val="0"/>
        <w:jc w:val="center"/>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w:t>
      </w:r>
      <w:r>
        <w:rPr>
          <w:rFonts w:ascii="Times New Roman" w:hAnsi="Times New Roman"/>
          <w:color w:val="000000"/>
          <w:szCs w:val="24"/>
        </w:rPr>
        <w:t>.1.1 Selection of Sampling Site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Sampling site information should be obtained in accordance with Method 1 in appendix A-1 to 40 CFR 60, incorporated by reference in Section 225.140. Identify a monitoring location representative of source mercury emissions. Locations shown to be free of stratification through measurement traverses for gases such as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and NO</w:t>
      </w:r>
      <w:r w:rsidRPr="00556FD5">
        <w:rPr>
          <w:rFonts w:ascii="Times New Roman" w:hAnsi="Times New Roman"/>
          <w:color w:val="000000"/>
          <w:szCs w:val="24"/>
          <w:vertAlign w:val="subscript"/>
        </w:rPr>
        <w:t>x</w:t>
      </w:r>
      <w:bookmarkStart w:id="13" w:name="Document1zzSDUNumber1134"/>
      <w:bookmarkEnd w:id="13"/>
      <w:r w:rsidRPr="00556FD5">
        <w:rPr>
          <w:rFonts w:ascii="Times New Roman" w:hAnsi="Times New Roman"/>
          <w:color w:val="000000"/>
          <w:szCs w:val="24"/>
        </w:rPr>
        <w:t xml:space="preserve"> may be one such approach. An estimation of the expected stack mercury concentration is required to establish a target sample flow rate, total gas sample volume, and the mass of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to be spiked onto </w:t>
      </w:r>
      <w:hyperlink r:id="rId16"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of each sorbent trap.</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7.1.2 Pre-sampling Spiking of Sorbent Traps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 xml:space="preserve">Based on the estimated mercury concentration in the stack, the target sample rate and the target sampling duration, calculate the expected mass loading for </w:t>
      </w:r>
      <w:hyperlink r:id="rId17"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of each sorbent trap (for an example calculation, see </w:t>
      </w:r>
      <w:hyperlink r:id="rId18" w:history="1">
        <w:r w:rsidRPr="00556FD5">
          <w:rPr>
            <w:rFonts w:ascii="Times New Roman" w:hAnsi="Times New Roman"/>
            <w:color w:val="000000"/>
            <w:szCs w:val="24"/>
          </w:rPr>
          <w:t>Section 11.1</w:t>
        </w:r>
      </w:hyperlink>
      <w:r w:rsidRPr="00556FD5">
        <w:rPr>
          <w:rFonts w:ascii="Times New Roman" w:hAnsi="Times New Roman"/>
          <w:color w:val="000000"/>
          <w:szCs w:val="24"/>
        </w:rPr>
        <w:t xml:space="preserve"> of this Exhibit). The pre-sampling spike to be added to </w:t>
      </w:r>
      <w:hyperlink r:id="rId19"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of each sorbent trap must be within </w:t>
      </w:r>
      <w:r>
        <w:rPr>
          <w:rFonts w:ascii="Times New Roman" w:hAnsi="Times New Roman"/>
          <w:color w:val="000000"/>
          <w:szCs w:val="24"/>
        </w:rPr>
        <w:t>±</w:t>
      </w:r>
      <w:r w:rsidRPr="00556FD5">
        <w:rPr>
          <w:rFonts w:ascii="Times New Roman" w:hAnsi="Times New Roman"/>
          <w:color w:val="000000"/>
          <w:szCs w:val="24"/>
        </w:rPr>
        <w:t xml:space="preserve"> 50 percent of the expected </w:t>
      </w:r>
      <w:hyperlink r:id="rId20"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mass loading. Spike </w:t>
      </w:r>
      <w:hyperlink r:id="rId21"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of each sorbent trap at this level, as described in Section 5.2 of this Exhibit. For each sorbent trap, keep an official record of the mass of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added to </w:t>
      </w:r>
      <w:hyperlink r:id="rId22" w:history="1">
        <w:r w:rsidRPr="00556FD5">
          <w:rPr>
            <w:rFonts w:ascii="Times New Roman" w:hAnsi="Times New Roman"/>
            <w:color w:val="000000"/>
            <w:szCs w:val="24"/>
          </w:rPr>
          <w:t>section 3</w:t>
        </w:r>
      </w:hyperlink>
      <w:r w:rsidRPr="00556FD5">
        <w:rPr>
          <w:rFonts w:ascii="Times New Roman" w:hAnsi="Times New Roman"/>
          <w:color w:val="000000"/>
          <w:szCs w:val="24"/>
        </w:rPr>
        <w:t>. This record must include, at a minimum, the ID number of the trap, the date and time of the spike, the name of the analyst performing the procedure, the mass of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added to section 3 of the trap (µg), and the supporting calculations. This record must be maintained in a format suitable for inspection and audit and must be made available to the regulatory agencies upon request.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4" w:name="Document1zzSDUNumber1135"/>
      <w:bookmarkEnd w:id="14"/>
      <w:r w:rsidRPr="00556FD5">
        <w:rPr>
          <w:rFonts w:ascii="Times New Roman" w:hAnsi="Times New Roman"/>
          <w:color w:val="000000"/>
          <w:szCs w:val="24"/>
        </w:rPr>
        <w:t>7.1.3 Pre-test Leak Check</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Perform a leak check with the sorbent traps in place. Draw a vacuum in each sample train. Adjust the vacuum in the sample train to mercury. Using the gas flow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7.1.4 Determinat</w:t>
      </w:r>
      <w:r>
        <w:rPr>
          <w:rFonts w:ascii="Times New Roman" w:hAnsi="Times New Roman"/>
          <w:color w:val="000000"/>
          <w:szCs w:val="24"/>
        </w:rPr>
        <w:t>ion of Flue Gas Characteristics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5" w:name="Document1zzSDUNumber1136"/>
      <w:bookmarkEnd w:id="15"/>
      <w:r>
        <w:rPr>
          <w:rFonts w:ascii="Times New Roman" w:hAnsi="Times New Roman"/>
          <w:color w:val="000000"/>
          <w:szCs w:val="24"/>
        </w:rPr>
        <w:t>7.2 Sample Collection</w:t>
      </w:r>
    </w:p>
    <w:p w:rsidR="005873EC" w:rsidRPr="00556FD5" w:rsidRDefault="005873EC" w:rsidP="005873EC">
      <w:pPr>
        <w:widowControl w:val="0"/>
        <w:jc w:val="center"/>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7.2.1</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Remove the plug from the end of each sorbent trap and store each plug in a clean sorbent trap storage container. Remove the stack or duct port cap and insert the probes. Secure the probes and ensure that no leakage occurs between the duct and environment.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7.2.2</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Record initial data including the sorbent trap ID, start time, starting dry gas meter readings, initial temperatures, set-points, and any other appropriate information.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7.2.3 Flow Rate Control</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Set the initial sample flow rate at the target value from Section 7.1.1 of this Exhibit. Record the initial gas flow meter reading, stack temperature (if needed to convert to standard conditions), meter temperatures (if needed), etc. Then, for every operating hour during the sampling period, record the date and </w:t>
      </w:r>
      <w:bookmarkStart w:id="16" w:name="Document1zzSDUNumber1137"/>
      <w:bookmarkEnd w:id="16"/>
      <w:r w:rsidRPr="00556FD5">
        <w:rPr>
          <w:szCs w:val="24"/>
          <w:u w:val="none"/>
        </w:rPr>
        <w:t xml:space="preserve">time, the sample flow rate, the gas flow meter reading, the stack temperature (if needed), the flow meter temperatures (if needed),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w:t>
      </w:r>
      <w:r>
        <w:rPr>
          <w:szCs w:val="24"/>
          <w:u w:val="none"/>
        </w:rPr>
        <w:t xml:space="preserve">± </w:t>
      </w:r>
      <w:r w:rsidRPr="00556FD5">
        <w:rPr>
          <w:szCs w:val="24"/>
          <w:u w:val="none"/>
        </w:rPr>
        <w:t xml:space="preserve">25 percent of the reference ratio from the first hour of the data collection period (see </w:t>
      </w:r>
      <w:hyperlink r:id="rId23" w:history="1">
        <w:r w:rsidRPr="00556FD5">
          <w:rPr>
            <w:szCs w:val="24"/>
            <w:u w:val="none"/>
          </w:rPr>
          <w:t>Section 11</w:t>
        </w:r>
      </w:hyperlink>
      <w:r w:rsidRPr="00556FD5">
        <w:rPr>
          <w:szCs w:val="24"/>
          <w:u w:val="none"/>
        </w:rPr>
        <w:t xml:space="preserve"> of this Exhibit). The sample flow rate through a sorbent trap monitoring system during any hour (or portion of an hour) in which the unit is not operating must be zero.</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7.2.4 S</w:t>
      </w:r>
      <w:r>
        <w:rPr>
          <w:rFonts w:ascii="Times New Roman" w:hAnsi="Times New Roman"/>
          <w:color w:val="000000"/>
          <w:szCs w:val="24"/>
        </w:rPr>
        <w:t>tack Gas Moisture Determination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Determine stack gas moisture using a continuous moisture monitoring system, as described in </w:t>
      </w:r>
      <w:hyperlink r:id="rId24" w:history="1">
        <w:r w:rsidRPr="00556FD5">
          <w:rPr>
            <w:szCs w:val="24"/>
            <w:u w:val="none"/>
          </w:rPr>
          <w:t>40 CFR 75.11(b)</w:t>
        </w:r>
      </w:hyperlink>
      <w:r w:rsidRPr="00556FD5">
        <w:rPr>
          <w:szCs w:val="24"/>
          <w:u w:val="none"/>
        </w:rPr>
        <w:t xml:space="preserve">, incorporated by reference in Section 225.140. Alternatively, the owner or operator may use the appropriate fuel-specific moisture default value provided in </w:t>
      </w:r>
      <w:hyperlink r:id="rId25" w:history="1">
        <w:r w:rsidRPr="00556FD5">
          <w:rPr>
            <w:szCs w:val="24"/>
            <w:u w:val="none"/>
          </w:rPr>
          <w:t>40 CFR 75.11</w:t>
        </w:r>
      </w:hyperlink>
      <w:r w:rsidRPr="00556FD5">
        <w:rPr>
          <w:szCs w:val="24"/>
          <w:u w:val="none"/>
        </w:rPr>
        <w:t>, incorporated by reference in Section 225.140, or a site-specific moisture default value approved by the Agency.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7" w:name="Document1zzSDUNumber1138"/>
      <w:bookmarkEnd w:id="17"/>
      <w:r w:rsidRPr="00556FD5">
        <w:rPr>
          <w:rFonts w:ascii="Times New Roman" w:hAnsi="Times New Roman"/>
          <w:color w:val="000000"/>
          <w:szCs w:val="24"/>
        </w:rPr>
        <w:t>7.2.5 Essential Operating Data</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Obtain and record any essential operating data for the facility during the test period, e.g., the barometric pressure for correcting the sample volume measured by a dry gas meter to standard conditions. At the end of the data collection period, record the final gas flow meter reading and the final values of all other essential parameters.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7.2.6 Post Test Leak Check</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Section 7.1.3 of this Exhibit. Record the leakage rate and vacuum. The leakage rate must not exceed 4 percent of the average sampling rate for the data collection period. Following the leak check, carefully release the vacuum in the sample train.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8" w:name="Document1zzSDUNumber1139"/>
      <w:bookmarkEnd w:id="18"/>
      <w:r w:rsidRPr="00556FD5">
        <w:rPr>
          <w:rFonts w:ascii="Times New Roman" w:hAnsi="Times New Roman"/>
          <w:color w:val="000000"/>
          <w:szCs w:val="24"/>
        </w:rPr>
        <w:t>7.2.7 Sample Re</w:t>
      </w:r>
      <w:r>
        <w:rPr>
          <w:rFonts w:ascii="Times New Roman" w:hAnsi="Times New Roman"/>
          <w:color w:val="000000"/>
          <w:szCs w:val="24"/>
        </w:rPr>
        <w:t>covery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Recover each sampled sorbent trap by removing it from the probe, sealing both ends. Wipe any deposited material from the outside of the sorbent trap. Place the sorbent trap into an appropriate sample storage container and store/preserve in appropriate manner.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7.2.8 Sample Prese</w:t>
      </w:r>
      <w:r>
        <w:rPr>
          <w:rFonts w:ascii="Times New Roman" w:hAnsi="Times New Roman"/>
          <w:color w:val="000000"/>
          <w:szCs w:val="24"/>
        </w:rPr>
        <w:t>rvation, Storage, and Transport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(incorporated by reference under Section 225.140) must be followed for all samples.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19" w:name="Document1zzSDUNumber1140"/>
      <w:bookmarkEnd w:id="19"/>
      <w:r>
        <w:rPr>
          <w:rFonts w:ascii="Times New Roman" w:hAnsi="Times New Roman"/>
          <w:color w:val="000000"/>
          <w:szCs w:val="24"/>
        </w:rPr>
        <w:t>7.2.9 Sample Custody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Proper procedures and documentation for sample chain of custody are critical to ensuring data integrity. The chain of custody procedures in ASTM D4840-99 (reapproved 2004) "Standard Guide for Sample Chain-of-Custody Procedures" (incorporated by reference under Section 225.140) must be followed for all samples (including field samples and blanks).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8.0 Qualit</w:t>
      </w:r>
      <w:r>
        <w:rPr>
          <w:rFonts w:ascii="Times New Roman" w:hAnsi="Times New Roman"/>
          <w:color w:val="000000"/>
          <w:szCs w:val="24"/>
        </w:rPr>
        <w:t>y Assurance and Quality Control</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Table K-1 summarizes the QA/QC performance criteria that are used to validate the mercury emissions data from sorbent trap monitoring systems, including the relative accuracy test audit (RATA) requirement (see </w:t>
      </w:r>
      <w:hyperlink r:id="rId26" w:history="1">
        <w:r w:rsidRPr="00556FD5">
          <w:rPr>
            <w:szCs w:val="24"/>
            <w:u w:val="none"/>
          </w:rPr>
          <w:t>Section 1.4(c)</w:t>
        </w:r>
      </w:hyperlink>
      <w:r w:rsidRPr="00556FD5">
        <w:rPr>
          <w:szCs w:val="24"/>
          <w:u w:val="none"/>
        </w:rPr>
        <w:t>(7), Section 6.5.6 of Exhibit A to Appendix</w:t>
      </w:r>
      <w:r w:rsidR="000E2FA0">
        <w:rPr>
          <w:szCs w:val="24"/>
          <w:u w:val="none"/>
        </w:rPr>
        <w:t xml:space="preserve"> B</w:t>
      </w:r>
      <w:r w:rsidRPr="00556FD5">
        <w:rPr>
          <w:szCs w:val="24"/>
          <w:u w:val="none"/>
        </w:rPr>
        <w:t>, and Section 2.3 of Exhibit B to</w:t>
      </w:r>
      <w:r w:rsidR="000E2FA0">
        <w:rPr>
          <w:szCs w:val="24"/>
          <w:u w:val="none"/>
        </w:rPr>
        <w:t xml:space="preserve"> </w:t>
      </w:r>
      <w:r w:rsidRPr="00556FD5">
        <w:rPr>
          <w:szCs w:val="24"/>
          <w:u w:val="none"/>
        </w:rPr>
        <w:t>Appendix</w:t>
      </w:r>
      <w:r w:rsidR="000E2FA0">
        <w:rPr>
          <w:szCs w:val="24"/>
          <w:u w:val="none"/>
        </w:rPr>
        <w:t xml:space="preserve"> B</w:t>
      </w:r>
      <w:r w:rsidRPr="00556FD5">
        <w:rPr>
          <w:szCs w:val="24"/>
          <w:u w:val="none"/>
        </w:rPr>
        <w:t xml:space="preserve">). Except as provided in </w:t>
      </w:r>
      <w:hyperlink r:id="rId27" w:history="1">
        <w:r w:rsidRPr="00556FD5">
          <w:rPr>
            <w:szCs w:val="24"/>
            <w:u w:val="none"/>
          </w:rPr>
          <w:t>Section 1.3(h)</w:t>
        </w:r>
      </w:hyperlink>
      <w:r w:rsidRPr="00556FD5">
        <w:rPr>
          <w:szCs w:val="24"/>
          <w:u w:val="none"/>
        </w:rPr>
        <w:t xml:space="preserve"> of Appendix </w:t>
      </w:r>
      <w:r w:rsidR="000E2FA0">
        <w:rPr>
          <w:szCs w:val="24"/>
          <w:u w:val="none"/>
        </w:rPr>
        <w:t xml:space="preserve">B </w:t>
      </w:r>
      <w:r w:rsidRPr="00556FD5">
        <w:rPr>
          <w:szCs w:val="24"/>
          <w:u w:val="none"/>
        </w:rPr>
        <w:t>and as otherwise indicated in Table K-1, failure to achieve these performance criteria will result in invalidation of mercury emissions data.</w:t>
      </w:r>
    </w:p>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p>
    <w:p w:rsidR="005873EC" w:rsidRDefault="005873EC" w:rsidP="005873EC">
      <w:pPr>
        <w:widowControl w:val="0"/>
        <w:rPr>
          <w:rFonts w:ascii="Times New Roman" w:hAnsi="Times New Roman"/>
          <w:color w:val="000000"/>
          <w:szCs w:val="24"/>
        </w:rPr>
      </w:pPr>
      <w:bookmarkStart w:id="20" w:name="Document1zzSDUNumber1141"/>
      <w:bookmarkEnd w:id="20"/>
      <w:r>
        <w:rPr>
          <w:rFonts w:ascii="Times New Roman" w:hAnsi="Times New Roman"/>
          <w:color w:val="000000"/>
          <w:szCs w:val="24"/>
        </w:rPr>
        <w:t>Table K-1. Quality Assurance/Quality Control Criteria for Sorbent Trap Monitoring Systems</w:t>
      </w:r>
    </w:p>
    <w:p w:rsidR="00E96CF5" w:rsidRDefault="00E96CF5" w:rsidP="005873EC">
      <w:pPr>
        <w:widowControl w:val="0"/>
        <w:rPr>
          <w:rFonts w:ascii="Times New Roman" w:hAnsi="Times New Roman"/>
          <w:color w:val="000000"/>
          <w:szCs w:val="24"/>
        </w:rPr>
      </w:pPr>
    </w:p>
    <w:tbl>
      <w:tblPr>
        <w:tblW w:w="0" w:type="auto"/>
        <w:tblLook w:val="0000" w:firstRow="0" w:lastRow="0" w:firstColumn="0" w:lastColumn="0" w:noHBand="0" w:noVBand="0"/>
      </w:tblPr>
      <w:tblGrid>
        <w:gridCol w:w="2394"/>
        <w:gridCol w:w="2394"/>
        <w:gridCol w:w="2394"/>
        <w:gridCol w:w="2394"/>
      </w:tblGrid>
      <w:tr w:rsidR="005873EC" w:rsidTr="000E2FA0">
        <w:tblPrEx>
          <w:tblCellMar>
            <w:top w:w="0" w:type="dxa"/>
            <w:bottom w:w="0" w:type="dxa"/>
          </w:tblCellMar>
        </w:tblPrEx>
        <w:trPr>
          <w:trHeight w:val="644"/>
        </w:trPr>
        <w:tc>
          <w:tcPr>
            <w:tcW w:w="2394" w:type="dxa"/>
            <w:tcBorders>
              <w:top w:val="single" w:sz="4" w:space="0" w:color="auto"/>
              <w:bottom w:val="single" w:sz="4" w:space="0" w:color="auto"/>
            </w:tcBorders>
            <w:vAlign w:val="center"/>
          </w:tcPr>
          <w:p w:rsidR="005873EC" w:rsidRDefault="005873EC" w:rsidP="00A32AE1">
            <w:pPr>
              <w:widowControl w:val="0"/>
              <w:jc w:val="center"/>
              <w:rPr>
                <w:rFonts w:ascii="Times New Roman" w:hAnsi="Times New Roman"/>
                <w:color w:val="000000"/>
                <w:szCs w:val="24"/>
              </w:rPr>
            </w:pPr>
            <w:r>
              <w:rPr>
                <w:rFonts w:ascii="Times New Roman" w:hAnsi="Times New Roman"/>
                <w:color w:val="000000"/>
                <w:szCs w:val="24"/>
              </w:rPr>
              <w:t>QA/QC test or specification</w:t>
            </w:r>
          </w:p>
        </w:tc>
        <w:tc>
          <w:tcPr>
            <w:tcW w:w="2394" w:type="dxa"/>
            <w:tcBorders>
              <w:top w:val="single" w:sz="4" w:space="0" w:color="auto"/>
              <w:bottom w:val="single" w:sz="4" w:space="0" w:color="auto"/>
            </w:tcBorders>
            <w:vAlign w:val="center"/>
          </w:tcPr>
          <w:p w:rsidR="005873EC" w:rsidRDefault="005873EC" w:rsidP="00A32AE1">
            <w:pPr>
              <w:widowControl w:val="0"/>
              <w:jc w:val="center"/>
              <w:rPr>
                <w:rFonts w:ascii="Times New Roman" w:hAnsi="Times New Roman"/>
                <w:color w:val="000000"/>
                <w:szCs w:val="24"/>
              </w:rPr>
            </w:pPr>
            <w:r>
              <w:rPr>
                <w:rFonts w:ascii="Times New Roman" w:hAnsi="Times New Roman"/>
                <w:color w:val="000000"/>
                <w:szCs w:val="24"/>
              </w:rPr>
              <w:t>Acceptance criteria</w:t>
            </w:r>
          </w:p>
        </w:tc>
        <w:tc>
          <w:tcPr>
            <w:tcW w:w="2394" w:type="dxa"/>
            <w:tcBorders>
              <w:top w:val="single" w:sz="4" w:space="0" w:color="auto"/>
              <w:bottom w:val="single" w:sz="4" w:space="0" w:color="auto"/>
            </w:tcBorders>
            <w:vAlign w:val="center"/>
          </w:tcPr>
          <w:p w:rsidR="005873EC" w:rsidRDefault="005873EC" w:rsidP="00A32AE1">
            <w:pPr>
              <w:widowControl w:val="0"/>
              <w:jc w:val="center"/>
              <w:rPr>
                <w:rFonts w:ascii="Times New Roman" w:hAnsi="Times New Roman"/>
                <w:color w:val="000000"/>
                <w:szCs w:val="24"/>
              </w:rPr>
            </w:pPr>
            <w:r>
              <w:rPr>
                <w:rFonts w:ascii="Times New Roman" w:hAnsi="Times New Roman"/>
                <w:color w:val="000000"/>
                <w:szCs w:val="24"/>
              </w:rPr>
              <w:t>Frequency</w:t>
            </w:r>
          </w:p>
        </w:tc>
        <w:tc>
          <w:tcPr>
            <w:tcW w:w="2394" w:type="dxa"/>
            <w:tcBorders>
              <w:top w:val="single" w:sz="4" w:space="0" w:color="auto"/>
              <w:bottom w:val="single" w:sz="4" w:space="0" w:color="auto"/>
            </w:tcBorders>
            <w:vAlign w:val="center"/>
          </w:tcPr>
          <w:p w:rsidR="00E96CF5" w:rsidRDefault="005873EC" w:rsidP="00A32AE1">
            <w:pPr>
              <w:widowControl w:val="0"/>
              <w:jc w:val="center"/>
              <w:rPr>
                <w:rFonts w:ascii="Times New Roman" w:hAnsi="Times New Roman"/>
                <w:color w:val="000000"/>
                <w:szCs w:val="24"/>
              </w:rPr>
            </w:pPr>
            <w:r>
              <w:rPr>
                <w:rFonts w:ascii="Times New Roman" w:hAnsi="Times New Roman"/>
                <w:color w:val="000000"/>
                <w:szCs w:val="24"/>
              </w:rPr>
              <w:t xml:space="preserve">Consequences </w:t>
            </w:r>
          </w:p>
          <w:p w:rsidR="005873EC" w:rsidRDefault="005873EC" w:rsidP="00A32AE1">
            <w:pPr>
              <w:widowControl w:val="0"/>
              <w:jc w:val="center"/>
              <w:rPr>
                <w:rFonts w:ascii="Times New Roman" w:hAnsi="Times New Roman"/>
                <w:color w:val="000000"/>
                <w:szCs w:val="24"/>
              </w:rPr>
            </w:pPr>
            <w:r>
              <w:rPr>
                <w:rFonts w:ascii="Times New Roman" w:hAnsi="Times New Roman"/>
                <w:color w:val="000000"/>
                <w:szCs w:val="24"/>
              </w:rPr>
              <w:t>if not met</w:t>
            </w:r>
          </w:p>
        </w:tc>
      </w:tr>
      <w:tr w:rsidR="005873EC" w:rsidTr="000E2FA0">
        <w:tblPrEx>
          <w:tblCellMar>
            <w:top w:w="0" w:type="dxa"/>
            <w:bottom w:w="0" w:type="dxa"/>
          </w:tblCellMar>
        </w:tblPrEx>
        <w:trPr>
          <w:trHeight w:val="1040"/>
        </w:trPr>
        <w:tc>
          <w:tcPr>
            <w:tcW w:w="2394" w:type="dxa"/>
            <w:tcBorders>
              <w:top w:val="single" w:sz="4" w:space="0" w:color="auto"/>
            </w:tcBorders>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Pre-test leak check</w:t>
            </w:r>
          </w:p>
        </w:tc>
        <w:tc>
          <w:tcPr>
            <w:tcW w:w="2394" w:type="dxa"/>
            <w:tcBorders>
              <w:top w:val="single" w:sz="4" w:space="0" w:color="auto"/>
            </w:tcBorders>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 4% of target sampling rate</w:t>
            </w:r>
          </w:p>
        </w:tc>
        <w:tc>
          <w:tcPr>
            <w:tcW w:w="2394" w:type="dxa"/>
            <w:tcBorders>
              <w:top w:val="single" w:sz="4" w:space="0" w:color="auto"/>
            </w:tcBorders>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Prior to sampling</w:t>
            </w:r>
          </w:p>
        </w:tc>
        <w:tc>
          <w:tcPr>
            <w:tcW w:w="2394" w:type="dxa"/>
            <w:tcBorders>
              <w:top w:val="single" w:sz="4" w:space="0" w:color="auto"/>
            </w:tcBorders>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Sampling must not commence until the leak check is passed.</w:t>
            </w:r>
          </w:p>
        </w:tc>
      </w:tr>
      <w:tr w:rsidR="005873EC" w:rsidTr="00A32AE1">
        <w:tblPrEx>
          <w:tblCellMar>
            <w:top w:w="0" w:type="dxa"/>
            <w:bottom w:w="0" w:type="dxa"/>
          </w:tblCellMar>
        </w:tblPrEx>
        <w:trPr>
          <w:trHeight w:val="810"/>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Post-test leak check</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 4% of average sampling rate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After sampling</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[FN**] See Note, below.</w:t>
            </w:r>
          </w:p>
        </w:tc>
      </w:tr>
      <w:tr w:rsidR="005873EC" w:rsidTr="00A32AE1">
        <w:tblPrEx>
          <w:tblCellMar>
            <w:top w:w="0" w:type="dxa"/>
            <w:bottom w:w="0" w:type="dxa"/>
          </w:tblCellMar>
        </w:tblPrEx>
        <w:trPr>
          <w:trHeight w:val="2502"/>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Ratio of stack gas flow rate</w:t>
            </w:r>
            <w:r w:rsidR="00E96CF5">
              <w:rPr>
                <w:rFonts w:ascii="Times New Roman" w:hAnsi="Times New Roman"/>
                <w:color w:val="000000"/>
                <w:szCs w:val="24"/>
              </w:rPr>
              <w:t xml:space="preserve"> </w:t>
            </w:r>
            <w:r>
              <w:rPr>
                <w:rFonts w:ascii="Times New Roman" w:hAnsi="Times New Roman"/>
                <w:color w:val="000000"/>
                <w:szCs w:val="24"/>
              </w:rPr>
              <w:t>to sample flow rate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No more than 5% of the hourly ratios or 5 hourly ratios (whichever is less restrictive) may deviate from the reference ratio by more than ± %</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Every hour throughout data collection period</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[FN**] See Note, below.</w:t>
            </w:r>
          </w:p>
        </w:tc>
      </w:tr>
      <w:tr w:rsidR="005873EC" w:rsidTr="00A32AE1">
        <w:tblPrEx>
          <w:tblCellMar>
            <w:top w:w="0" w:type="dxa"/>
            <w:bottom w:w="0" w:type="dxa"/>
          </w:tblCellMar>
        </w:tblPrEx>
        <w:trPr>
          <w:trHeight w:val="810"/>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Sorbent trap section 2 break-through</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 5% of Section 1 H</w:t>
            </w:r>
            <w:r w:rsidRPr="00300589">
              <w:rPr>
                <w:rFonts w:ascii="Times New Roman" w:hAnsi="Times New Roman"/>
                <w:color w:val="000000"/>
                <w:szCs w:val="24"/>
              </w:rPr>
              <w:t>g</w:t>
            </w:r>
            <w:r>
              <w:rPr>
                <w:rFonts w:ascii="Times New Roman" w:hAnsi="Times New Roman"/>
                <w:color w:val="000000"/>
                <w:szCs w:val="24"/>
                <w:vertAlign w:val="subscript"/>
              </w:rPr>
              <w:t xml:space="preserve"> </w:t>
            </w:r>
            <w:r>
              <w:rPr>
                <w:rFonts w:ascii="Times New Roman" w:hAnsi="Times New Roman"/>
                <w:color w:val="000000"/>
                <w:szCs w:val="24"/>
              </w:rPr>
              <w:t>mass</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Every sample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[FN**] See Note, below.</w:t>
            </w:r>
          </w:p>
        </w:tc>
      </w:tr>
      <w:tr w:rsidR="005873EC" w:rsidTr="00A32AE1">
        <w:tblPrEx>
          <w:tblCellMar>
            <w:top w:w="0" w:type="dxa"/>
            <w:bottom w:w="0" w:type="dxa"/>
          </w:tblCellMar>
        </w:tblPrEx>
        <w:trPr>
          <w:trHeight w:val="4263"/>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Paired sorbent trap agreement</w:t>
            </w:r>
          </w:p>
        </w:tc>
        <w:tc>
          <w:tcPr>
            <w:tcW w:w="2394" w:type="dxa"/>
          </w:tcPr>
          <w:p w:rsidR="005873EC" w:rsidRPr="006F4274" w:rsidRDefault="005873EC" w:rsidP="00A32AE1">
            <w:pPr>
              <w:widowControl w:val="0"/>
              <w:rPr>
                <w:rFonts w:ascii="Times New Roman" w:hAnsi="Times New Roman"/>
                <w:color w:val="000000"/>
                <w:szCs w:val="24"/>
              </w:rPr>
            </w:pPr>
            <w:r>
              <w:rPr>
                <w:rFonts w:ascii="Times New Roman" w:hAnsi="Times New Roman"/>
                <w:color w:val="000000"/>
                <w:szCs w:val="24"/>
              </w:rPr>
              <w:t>≤ 10% Relative Deviation (RD) if the average concentration is &gt;</w:t>
            </w:r>
            <w:r w:rsidR="00E96CF5">
              <w:rPr>
                <w:rFonts w:ascii="Times New Roman" w:hAnsi="Times New Roman"/>
                <w:color w:val="000000"/>
                <w:szCs w:val="24"/>
              </w:rPr>
              <w:t xml:space="preserve"> </w:t>
            </w:r>
            <w:r>
              <w:rPr>
                <w:rFonts w:ascii="Times New Roman" w:hAnsi="Times New Roman"/>
                <w:color w:val="000000"/>
                <w:szCs w:val="24"/>
              </w:rPr>
              <w:t>1.0</w:t>
            </w:r>
            <w:r w:rsidR="000E2FA0">
              <w:rPr>
                <w:rFonts w:ascii="Times New Roman" w:hAnsi="Times New Roman"/>
                <w:color w:val="000000"/>
                <w:szCs w:val="24"/>
              </w:rPr>
              <w:t>µ</w:t>
            </w:r>
            <w:r>
              <w:rPr>
                <w:rFonts w:ascii="Times New Roman" w:hAnsi="Times New Roman"/>
                <w:color w:val="000000"/>
                <w:szCs w:val="24"/>
              </w:rPr>
              <w:t>g/m</w:t>
            </w:r>
            <w:r w:rsidRPr="00300589">
              <w:rPr>
                <w:rFonts w:ascii="Times New Roman" w:hAnsi="Times New Roman"/>
                <w:color w:val="000000"/>
                <w:szCs w:val="24"/>
                <w:vertAlign w:val="superscript"/>
              </w:rPr>
              <w:t>3</w:t>
            </w:r>
            <w:r>
              <w:rPr>
                <w:rFonts w:ascii="Times New Roman" w:hAnsi="Times New Roman"/>
                <w:color w:val="000000"/>
                <w:szCs w:val="24"/>
                <w:vertAlign w:val="superscript"/>
              </w:rPr>
              <w:t xml:space="preserve"> </w:t>
            </w:r>
          </w:p>
          <w:p w:rsidR="005873EC" w:rsidRDefault="005873EC" w:rsidP="00A32AE1">
            <w:pPr>
              <w:widowControl w:val="0"/>
              <w:rPr>
                <w:rFonts w:ascii="Times New Roman" w:hAnsi="Times New Roman"/>
                <w:color w:val="000000"/>
                <w:szCs w:val="24"/>
              </w:rPr>
            </w:pPr>
          </w:p>
          <w:p w:rsidR="005873EC" w:rsidRDefault="005873EC" w:rsidP="00A32AE1">
            <w:pPr>
              <w:widowControl w:val="0"/>
              <w:rPr>
                <w:rFonts w:ascii="Times New Roman" w:hAnsi="Times New Roman"/>
                <w:color w:val="000000"/>
                <w:szCs w:val="24"/>
              </w:rPr>
            </w:pPr>
            <w:r>
              <w:rPr>
                <w:rFonts w:ascii="Times New Roman" w:hAnsi="Times New Roman"/>
                <w:color w:val="000000"/>
                <w:szCs w:val="24"/>
              </w:rPr>
              <w:t>≤</w:t>
            </w:r>
            <w:r w:rsidR="00E96CF5">
              <w:rPr>
                <w:rFonts w:ascii="Times New Roman" w:hAnsi="Times New Roman"/>
                <w:color w:val="000000"/>
                <w:szCs w:val="24"/>
              </w:rPr>
              <w:t xml:space="preserve"> </w:t>
            </w:r>
            <w:r>
              <w:rPr>
                <w:rFonts w:ascii="Times New Roman" w:hAnsi="Times New Roman"/>
                <w:color w:val="000000"/>
                <w:szCs w:val="24"/>
              </w:rPr>
              <w:t>20% RD if the average concentration is ≤ 1.0</w:t>
            </w:r>
            <w:r w:rsidR="000E2FA0">
              <w:rPr>
                <w:rFonts w:ascii="Times New Roman" w:hAnsi="Times New Roman"/>
                <w:color w:val="000000"/>
                <w:szCs w:val="24"/>
              </w:rPr>
              <w:t>µ</w:t>
            </w:r>
            <w:r>
              <w:rPr>
                <w:rFonts w:ascii="Times New Roman" w:hAnsi="Times New Roman"/>
                <w:color w:val="000000"/>
                <w:szCs w:val="24"/>
              </w:rPr>
              <w:t>g/m</w:t>
            </w:r>
            <w:r w:rsidRPr="00300589">
              <w:rPr>
                <w:rFonts w:ascii="Times New Roman" w:hAnsi="Times New Roman"/>
                <w:color w:val="000000"/>
                <w:szCs w:val="24"/>
                <w:vertAlign w:val="superscript"/>
              </w:rPr>
              <w:t>3</w:t>
            </w:r>
            <w:r>
              <w:rPr>
                <w:rFonts w:ascii="Times New Roman" w:hAnsi="Times New Roman"/>
                <w:color w:val="000000"/>
                <w:szCs w:val="24"/>
              </w:rPr>
              <w:t>. Results are also acceptable if absolute difference between concentrations from paired traps is ≤ 0.03</w:t>
            </w:r>
            <w:r w:rsidR="000E2FA0">
              <w:rPr>
                <w:rFonts w:ascii="Times New Roman" w:hAnsi="Times New Roman"/>
                <w:color w:val="000000"/>
                <w:szCs w:val="24"/>
              </w:rPr>
              <w:t>µ</w:t>
            </w:r>
            <w:r>
              <w:rPr>
                <w:rFonts w:ascii="Times New Roman" w:hAnsi="Times New Roman"/>
                <w:color w:val="000000"/>
                <w:szCs w:val="24"/>
              </w:rPr>
              <w:t>g/m</w:t>
            </w:r>
            <w:r w:rsidRPr="003D432F">
              <w:rPr>
                <w:rFonts w:ascii="Times New Roman" w:hAnsi="Times New Roman"/>
                <w:color w:val="000000"/>
                <w:szCs w:val="24"/>
                <w:vertAlign w:val="superscript"/>
              </w:rPr>
              <w:t>3</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Every sample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Either invalidate the data from the paired traps or report the results from the trap with the higher Hg concentration.</w:t>
            </w:r>
          </w:p>
        </w:tc>
      </w:tr>
      <w:tr w:rsidR="005873EC" w:rsidTr="00A32AE1">
        <w:tblPrEx>
          <w:tblCellMar>
            <w:top w:w="0" w:type="dxa"/>
            <w:bottom w:w="0" w:type="dxa"/>
          </w:tblCellMar>
        </w:tblPrEx>
        <w:trPr>
          <w:trHeight w:val="1752"/>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Spike Recovery Study</w:t>
            </w:r>
          </w:p>
        </w:tc>
        <w:tc>
          <w:tcPr>
            <w:tcW w:w="2394" w:type="dxa"/>
          </w:tcPr>
          <w:p w:rsidR="005873EC" w:rsidRPr="003D432F" w:rsidRDefault="005873EC" w:rsidP="00A32AE1">
            <w:pPr>
              <w:widowControl w:val="0"/>
              <w:rPr>
                <w:rFonts w:ascii="Times New Roman" w:hAnsi="Times New Roman"/>
                <w:color w:val="000000"/>
                <w:szCs w:val="24"/>
              </w:rPr>
            </w:pPr>
            <w:r>
              <w:rPr>
                <w:rFonts w:ascii="Times New Roman" w:hAnsi="Times New Roman"/>
                <w:color w:val="000000"/>
                <w:szCs w:val="24"/>
              </w:rPr>
              <w:t>Average recovery between 85% and 115% for each of the 3 spike concentration levels</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Prior to analyzing field samples and prior to use of new sorbent media</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Field samples must not be analyzed until the percent recovery criteria has been met</w:t>
            </w:r>
            <w:r w:rsidR="000E2FA0">
              <w:rPr>
                <w:rFonts w:ascii="Times New Roman" w:hAnsi="Times New Roman"/>
                <w:color w:val="000000"/>
                <w:szCs w:val="24"/>
              </w:rPr>
              <w:t>.</w:t>
            </w:r>
          </w:p>
        </w:tc>
      </w:tr>
      <w:tr w:rsidR="005873EC" w:rsidTr="00A32AE1">
        <w:tblPrEx>
          <w:tblCellMar>
            <w:top w:w="0" w:type="dxa"/>
            <w:bottom w:w="0" w:type="dxa"/>
          </w:tblCellMar>
        </w:tblPrEx>
        <w:trPr>
          <w:trHeight w:val="1266"/>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Multipoint analyzer calibration</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Each analyzer reading within ± 10% of true value and r</w:t>
            </w:r>
            <w:r w:rsidRPr="00B41355">
              <w:rPr>
                <w:rFonts w:ascii="Times New Roman" w:hAnsi="Times New Roman"/>
                <w:color w:val="000000"/>
                <w:szCs w:val="24"/>
                <w:vertAlign w:val="superscript"/>
              </w:rPr>
              <w:t>2</w:t>
            </w:r>
            <w:r>
              <w:rPr>
                <w:rFonts w:ascii="Times New Roman" w:hAnsi="Times New Roman"/>
                <w:color w:val="000000"/>
                <w:szCs w:val="24"/>
              </w:rPr>
              <w:t xml:space="preserve"> ≥ 0.99</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On the day of analysis, before analyzing any samples</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Recalibrate until successful.</w:t>
            </w:r>
          </w:p>
        </w:tc>
      </w:tr>
      <w:tr w:rsidR="005873EC" w:rsidTr="00A32AE1">
        <w:tblPrEx>
          <w:tblCellMar>
            <w:top w:w="0" w:type="dxa"/>
            <w:bottom w:w="0" w:type="dxa"/>
          </w:tblCellMar>
        </w:tblPrEx>
        <w:trPr>
          <w:trHeight w:val="1386"/>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Analysis of independent calibration standard</w:t>
            </w:r>
          </w:p>
        </w:tc>
        <w:tc>
          <w:tcPr>
            <w:tcW w:w="2394" w:type="dxa"/>
          </w:tcPr>
          <w:p w:rsidR="005873EC" w:rsidRPr="00B41355" w:rsidRDefault="005873EC" w:rsidP="00A32AE1">
            <w:pPr>
              <w:widowControl w:val="0"/>
              <w:rPr>
                <w:rFonts w:ascii="Times New Roman" w:hAnsi="Times New Roman"/>
                <w:color w:val="000000"/>
                <w:szCs w:val="24"/>
              </w:rPr>
            </w:pPr>
            <w:r>
              <w:rPr>
                <w:rFonts w:ascii="Times New Roman" w:hAnsi="Times New Roman"/>
                <w:color w:val="000000"/>
                <w:szCs w:val="24"/>
              </w:rPr>
              <w:t>Within ± 10% of true value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Following daily calibration, prior to analyzing field samples</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Recalibrate and repeat independent standard analysis until successful.</w:t>
            </w:r>
          </w:p>
        </w:tc>
      </w:tr>
      <w:tr w:rsidR="005873EC" w:rsidTr="00A32AE1">
        <w:tblPrEx>
          <w:tblCellMar>
            <w:top w:w="0" w:type="dxa"/>
            <w:bottom w:w="0" w:type="dxa"/>
          </w:tblCellMar>
        </w:tblPrEx>
        <w:trPr>
          <w:trHeight w:val="1152"/>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Spike recovery from Section 3 of sorbent trap</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75-125% of spike amount</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Every sample</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[FN**] See Note, below.</w:t>
            </w:r>
          </w:p>
        </w:tc>
      </w:tr>
      <w:tr w:rsidR="005873EC" w:rsidTr="00A32AE1">
        <w:tblPrEx>
          <w:tblCellMar>
            <w:top w:w="0" w:type="dxa"/>
            <w:bottom w:w="0" w:type="dxa"/>
          </w:tblCellMar>
        </w:tblPrEx>
        <w:trPr>
          <w:trHeight w:val="1431"/>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RATA</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RA ≤ 20.0% or Mean difference ≤ 1.0</w:t>
            </w:r>
            <w:r w:rsidR="000E2FA0">
              <w:rPr>
                <w:rFonts w:ascii="Times New Roman" w:hAnsi="Times New Roman"/>
                <w:color w:val="000000"/>
                <w:szCs w:val="24"/>
              </w:rPr>
              <w:t>µ</w:t>
            </w:r>
            <w:r>
              <w:rPr>
                <w:rFonts w:ascii="Times New Roman" w:hAnsi="Times New Roman"/>
                <w:color w:val="000000"/>
                <w:szCs w:val="24"/>
              </w:rPr>
              <w:t>g/dscm for low emitters</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For initial certification and annually thereafter</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Data from the system are invalidated until a RATA is passed.</w:t>
            </w:r>
          </w:p>
        </w:tc>
      </w:tr>
      <w:tr w:rsidR="005873EC" w:rsidTr="00A32AE1">
        <w:tblPrEx>
          <w:tblCellMar>
            <w:top w:w="0" w:type="dxa"/>
            <w:bottom w:w="0" w:type="dxa"/>
          </w:tblCellMar>
        </w:tblPrEx>
        <w:trPr>
          <w:trHeight w:val="2277"/>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Gas flow meter calibration</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Calibration factor (Y) within ± 5% of average value from the most recent 3-point calibration</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At three settings prior to initial use and at least quarterly at one setting thereafter.  For mass flow meters, initial calibration with stack gas is required</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Recalibrate the meter at three orifice settings to determine a new value of Y.</w:t>
            </w:r>
          </w:p>
        </w:tc>
      </w:tr>
      <w:tr w:rsidR="005873EC" w:rsidTr="00A32AE1">
        <w:tblPrEx>
          <w:tblCellMar>
            <w:top w:w="0" w:type="dxa"/>
            <w:bottom w:w="0" w:type="dxa"/>
          </w:tblCellMar>
        </w:tblPrEx>
        <w:trPr>
          <w:trHeight w:val="1377"/>
        </w:trPr>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Temperature sensor calibration</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Absolute temperature measured by sensor within ± 1.5% of a reference sensor</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Prior to initial use and at least quarterly thereafter</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Recalibrate.  Sensor may not be used until specification is met.</w:t>
            </w:r>
          </w:p>
        </w:tc>
      </w:tr>
      <w:tr w:rsidR="005873EC" w:rsidTr="00A32AE1">
        <w:tblPrEx>
          <w:tblCellMar>
            <w:top w:w="0" w:type="dxa"/>
            <w:bottom w:w="0" w:type="dxa"/>
          </w:tblCellMar>
        </w:tblPrEx>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Barometer calibration</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Absolute pressure measured by instrument within ± 10 mmHg of reading with a mercury barometer</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Prior to initial use and at least quarterly thereafter</w:t>
            </w:r>
          </w:p>
        </w:tc>
        <w:tc>
          <w:tcPr>
            <w:tcW w:w="2394" w:type="dxa"/>
          </w:tcPr>
          <w:p w:rsidR="005873EC" w:rsidRDefault="005873EC" w:rsidP="00A32AE1">
            <w:pPr>
              <w:widowControl w:val="0"/>
              <w:rPr>
                <w:rFonts w:ascii="Times New Roman" w:hAnsi="Times New Roman"/>
                <w:color w:val="000000"/>
                <w:szCs w:val="24"/>
              </w:rPr>
            </w:pPr>
            <w:r>
              <w:rPr>
                <w:rFonts w:ascii="Times New Roman" w:hAnsi="Times New Roman"/>
                <w:color w:val="000000"/>
                <w:szCs w:val="24"/>
              </w:rPr>
              <w:t>Recalibrate.  Instrument may not be used until specification is met.</w:t>
            </w:r>
          </w:p>
        </w:tc>
      </w:tr>
    </w:tbl>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bookmarkStart w:id="21" w:name="Document1zzSDUNumber1145"/>
      <w:bookmarkEnd w:id="21"/>
      <w:r w:rsidRPr="00556FD5">
        <w:rPr>
          <w:rFonts w:ascii="Times New Roman" w:hAnsi="Times New Roman"/>
          <w:color w:val="000000"/>
          <w:szCs w:val="24"/>
        </w:rPr>
        <w:t xml:space="preserve">[FN**] Note: If both traps fail to meet the acceptance criteria, the data from the pair of traps are invalidated. However, if only one of the paired traps fails to meet this particular acceptance criterion and the other sample meets all of the applicable QA criteria, the results of the valid trap may be used for reporting under this </w:t>
      </w:r>
      <w:r w:rsidR="000E2FA0">
        <w:rPr>
          <w:rFonts w:ascii="Times New Roman" w:hAnsi="Times New Roman"/>
          <w:color w:val="000000"/>
          <w:szCs w:val="24"/>
        </w:rPr>
        <w:t>P</w:t>
      </w:r>
      <w:r w:rsidRPr="00556FD5">
        <w:rPr>
          <w:rFonts w:ascii="Times New Roman" w:hAnsi="Times New Roman"/>
          <w:color w:val="000000"/>
          <w:szCs w:val="24"/>
        </w:rPr>
        <w:t>art</w:t>
      </w:r>
      <w:r>
        <w:rPr>
          <w:rFonts w:ascii="Times New Roman" w:hAnsi="Times New Roman"/>
          <w:color w:val="000000"/>
          <w:szCs w:val="24"/>
        </w:rPr>
        <w:t xml:space="preserve">. </w:t>
      </w:r>
      <w:r w:rsidRPr="00556FD5">
        <w:rPr>
          <w:rFonts w:ascii="Times New Roman" w:hAnsi="Times New Roman"/>
          <w:color w:val="000000"/>
          <w:szCs w:val="24"/>
        </w:rPr>
        <w:t xml:space="preserve"> </w:t>
      </w:r>
      <w:r w:rsidRPr="00FE67F8">
        <w:rPr>
          <w:rFonts w:ascii="Times New Roman" w:hAnsi="Times New Roman"/>
          <w:color w:val="000000"/>
          <w:szCs w:val="24"/>
        </w:rPr>
        <w:t xml:space="preserve">When the data from both traps are invalidated and quality-assured data from a certified backup monitoring </w:t>
      </w:r>
      <w:bookmarkStart w:id="22" w:name="Document1zzSDUNumber1150"/>
      <w:bookmarkEnd w:id="22"/>
      <w:r w:rsidRPr="00FE67F8">
        <w:rPr>
          <w:rFonts w:ascii="Times New Roman" w:hAnsi="Times New Roman"/>
          <w:color w:val="000000"/>
          <w:szCs w:val="24"/>
        </w:rPr>
        <w:t>system, reference method, or approved alternative monitoring system are unavailable, missing data substitution must be used.</w:t>
      </w:r>
    </w:p>
    <w:p w:rsidR="005873EC" w:rsidRDefault="005873EC" w:rsidP="005873EC">
      <w:pPr>
        <w:widowControl w:val="0"/>
        <w:rPr>
          <w:rFonts w:ascii="Times New Roman" w:hAnsi="Times New Roman"/>
          <w:color w:val="000000"/>
          <w:szCs w:val="24"/>
        </w:rPr>
      </w:pPr>
    </w:p>
    <w:p w:rsidR="005873EC" w:rsidRPr="00FE67F8" w:rsidRDefault="005873EC" w:rsidP="005873EC">
      <w:pPr>
        <w:widowControl w:val="0"/>
        <w:jc w:val="center"/>
        <w:rPr>
          <w:rFonts w:ascii="Times New Roman" w:hAnsi="Times New Roman"/>
          <w:color w:val="000000"/>
          <w:szCs w:val="24"/>
        </w:rPr>
      </w:pPr>
      <w:r w:rsidRPr="00FE67F8">
        <w:rPr>
          <w:rFonts w:ascii="Times New Roman" w:hAnsi="Times New Roman"/>
          <w:color w:val="000000"/>
          <w:szCs w:val="24"/>
        </w:rPr>
        <w:t>9.0 Calibration and Standardization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9.1</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Only NIST-certified and NIST-traceable calibration standards (i.e., calibration gases, solutions, etc.) must be used for the spiking and analytical procedures in this Exhibit.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 Gas Flow Meter Calibration</w:t>
      </w:r>
    </w:p>
    <w:p w:rsidR="005873EC" w:rsidRPr="00556FD5" w:rsidRDefault="005873EC" w:rsidP="005873EC">
      <w:pPr>
        <w:widowControl w:val="0"/>
        <w:rPr>
          <w:rFonts w:ascii="Times New Roman" w:hAnsi="Times New Roman"/>
          <w:color w:val="000000"/>
          <w:szCs w:val="24"/>
        </w:rPr>
      </w:pPr>
    </w:p>
    <w:p w:rsidR="005873EC" w:rsidRDefault="005873EC" w:rsidP="005873EC">
      <w:pPr>
        <w:widowControl w:val="0"/>
        <w:jc w:val="center"/>
      </w:pPr>
      <w:r w:rsidRPr="00556FD5">
        <w:rPr>
          <w:rFonts w:ascii="Times New Roman" w:hAnsi="Times New Roman"/>
          <w:color w:val="000000"/>
        </w:rPr>
        <w:t>9.2.1</w:t>
      </w:r>
      <w:r>
        <w:rPr>
          <w:rFonts w:ascii="Times New Roman" w:hAnsi="Times New Roman"/>
          <w:color w:val="000000"/>
        </w:rPr>
        <w:t xml:space="preserve"> </w:t>
      </w:r>
      <w:r>
        <w:t>Preliminaries</w:t>
      </w:r>
    </w:p>
    <w:p w:rsidR="005873EC" w:rsidRDefault="005873EC" w:rsidP="005873EC">
      <w:pPr>
        <w:widowControl w:val="0"/>
        <w:jc w:val="center"/>
      </w:pPr>
    </w:p>
    <w:p w:rsidR="005873EC" w:rsidRPr="007942FE" w:rsidRDefault="005873EC" w:rsidP="005873EC">
      <w:r w:rsidRPr="007942FE">
        <w:t>The manufacturer or supplier of the gas flow meter should perform all necessary set-up, testing, programming, etc., and should provide the end user with any necessary instructions, to ensure that the meter will give an accurate readout of dry gas volume in standard cubic meters for the particular field application.</w:t>
      </w:r>
    </w:p>
    <w:p w:rsidR="005873EC" w:rsidRPr="007942FE" w:rsidRDefault="005873EC" w:rsidP="005873EC"/>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9.2.2</w:t>
      </w:r>
      <w:r>
        <w:rPr>
          <w:rFonts w:ascii="Times New Roman" w:hAnsi="Times New Roman"/>
          <w:color w:val="000000"/>
          <w:szCs w:val="24"/>
        </w:rPr>
        <w:t xml:space="preserve"> </w:t>
      </w:r>
      <w:r w:rsidRPr="00556FD5">
        <w:rPr>
          <w:rFonts w:ascii="Times New Roman" w:hAnsi="Times New Roman"/>
          <w:color w:val="000000"/>
          <w:szCs w:val="24"/>
        </w:rPr>
        <w:t>Initial Calibration</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 xml:space="preserve">Prior to its initial use, a calibration of the flow </w:t>
      </w:r>
      <w:bookmarkStart w:id="23" w:name="Document1zzSDUNumber1151"/>
      <w:bookmarkEnd w:id="23"/>
      <w:r w:rsidRPr="00556FD5">
        <w:rPr>
          <w:rFonts w:ascii="Times New Roman" w:hAnsi="Times New Roman"/>
          <w:color w:val="000000"/>
          <w:szCs w:val="24"/>
        </w:rPr>
        <w:t xml:space="preserve">meter must be performed. The initial calibration may be done by the manufacturer, by the equipment supplier, or by the end user. If the flow meter is volumetric in nature (e.g., a dry gas meter), the manufacturer, equipment supplier, or end user may perform a direct volumetric calibration using any gas. For a mass flow meter, the manufacturer, equipment supplier, or end user may calibrate the meter using a bottled gas mixture containing 12 </w:t>
      </w:r>
      <w:r>
        <w:rPr>
          <w:szCs w:val="24"/>
        </w:rPr>
        <w:t>±</w:t>
      </w:r>
      <w:r w:rsidRPr="00556FD5">
        <w:rPr>
          <w:rFonts w:ascii="Times New Roman" w:hAnsi="Times New Roman"/>
          <w:color w:val="000000"/>
          <w:szCs w:val="24"/>
        </w:rPr>
        <w:t xml:space="preserve"> 0.5%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7 </w:t>
      </w:r>
      <w:r>
        <w:rPr>
          <w:rFonts w:ascii="Times New Roman" w:hAnsi="Times New Roman"/>
          <w:color w:val="000000"/>
          <w:szCs w:val="24"/>
        </w:rPr>
        <w:t>±</w:t>
      </w:r>
      <w:r w:rsidRPr="00556FD5">
        <w:rPr>
          <w:rFonts w:ascii="Times New Roman" w:hAnsi="Times New Roman"/>
          <w:color w:val="000000"/>
          <w:szCs w:val="24"/>
        </w:rPr>
        <w:t xml:space="preserve"> 0.5% O</w:t>
      </w:r>
      <w:r w:rsidRPr="00556FD5">
        <w:rPr>
          <w:rFonts w:ascii="Times New Roman" w:hAnsi="Times New Roman"/>
          <w:color w:val="000000"/>
          <w:szCs w:val="24"/>
          <w:vertAlign w:val="subscript"/>
        </w:rPr>
        <w:t>2</w:t>
      </w:r>
      <w:r w:rsidRPr="00556FD5">
        <w:rPr>
          <w:rFonts w:ascii="Times New Roman" w:hAnsi="Times New Roman"/>
          <w:color w:val="000000"/>
          <w:szCs w:val="24"/>
        </w:rPr>
        <w:t>, and balance N</w:t>
      </w:r>
      <w:r w:rsidRPr="00556FD5">
        <w:rPr>
          <w:rFonts w:ascii="Times New Roman" w:hAnsi="Times New Roman"/>
          <w:color w:val="000000"/>
          <w:szCs w:val="24"/>
          <w:vertAlign w:val="subscript"/>
        </w:rPr>
        <w:t>2</w:t>
      </w:r>
      <w:r w:rsidRPr="00556FD5">
        <w:rPr>
          <w:rFonts w:ascii="Times New Roman" w:hAnsi="Times New Roman"/>
          <w:color w:val="000000"/>
          <w:szCs w:val="24"/>
        </w:rPr>
        <w:t>, or these same gases in proportions more representative of the expected stack gas composition. Mass flow meters may also be initially calibrated on-site, using actual stack gas.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9.2.2.1</w:t>
      </w:r>
      <w:r>
        <w:rPr>
          <w:rFonts w:ascii="Times New Roman" w:hAnsi="Times New Roman"/>
          <w:color w:val="000000"/>
          <w:szCs w:val="24"/>
        </w:rPr>
        <w:t xml:space="preserve"> </w:t>
      </w:r>
      <w:r w:rsidRPr="00556FD5">
        <w:rPr>
          <w:szCs w:val="24"/>
        </w:rPr>
        <w:t>Initial Calibration Procedures</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Determine an average calibration factor (Y) for the gas flow meter, by calibrating it at three sample flow rate settings covering the range of sample flow rates at which the sorbent trap monitoring system typically operates. You may either follow the procedures in Section 10.3.1 of Method 5 in appendix A-3 to 40 CFR 60, incorporated by reference in Section 225.140, or the procedures in </w:t>
      </w:r>
      <w:hyperlink r:id="rId28" w:history="1">
        <w:r w:rsidRPr="00556FD5">
          <w:rPr>
            <w:szCs w:val="24"/>
            <w:u w:val="none"/>
          </w:rPr>
          <w:t>Section 16</w:t>
        </w:r>
      </w:hyperlink>
      <w:r w:rsidRPr="00556FD5">
        <w:rPr>
          <w:szCs w:val="24"/>
          <w:u w:val="none"/>
        </w:rPr>
        <w:t xml:space="preserve"> of Method 5 in appendix A-3 to 40 CFR 60. If a dry gas meter is being calibrated, use at least five revolutions of the meter at each flow rate.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9.2.2.2</w:t>
      </w:r>
      <w:r>
        <w:rPr>
          <w:rFonts w:ascii="Times New Roman" w:hAnsi="Times New Roman"/>
          <w:color w:val="000000"/>
          <w:szCs w:val="24"/>
        </w:rPr>
        <w:t xml:space="preserve"> </w:t>
      </w:r>
      <w:r w:rsidRPr="00556FD5">
        <w:rPr>
          <w:szCs w:val="24"/>
        </w:rPr>
        <w:t>Alternative</w:t>
      </w:r>
      <w:r>
        <w:rPr>
          <w:szCs w:val="24"/>
        </w:rPr>
        <w:t xml:space="preserve"> Initial Calibration Procedures</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Alternatively, you may </w:t>
      </w:r>
      <w:bookmarkStart w:id="24" w:name="Document1zzSDUNumber1152"/>
      <w:bookmarkEnd w:id="24"/>
      <w:r w:rsidRPr="00556FD5">
        <w:rPr>
          <w:szCs w:val="24"/>
          <w:u w:val="none"/>
        </w:rPr>
        <w:t xml:space="preserve">perform the initial calibration of the gas flow meter using a reference gas flow meter (RGFM). The RGFM may either be: (1) A wet test meter calibrated according to Section 10.3.1 of Method 5 in appendix A-3 to 40 CFR 60, incorporated by reference in Section 225.140; (2) a gas flow metering device calibrated at multiple flow rates using the procedures in </w:t>
      </w:r>
      <w:hyperlink r:id="rId29" w:history="1">
        <w:r w:rsidRPr="00556FD5">
          <w:rPr>
            <w:szCs w:val="24"/>
            <w:u w:val="none"/>
          </w:rPr>
          <w:t>Section 16</w:t>
        </w:r>
      </w:hyperlink>
      <w:r w:rsidRPr="00556FD5">
        <w:rPr>
          <w:szCs w:val="24"/>
          <w:u w:val="none"/>
        </w:rPr>
        <w:t xml:space="preserve"> of Method 5 in appendix A-3 to 40 CFR 60; or (3) a NIST-traceable calibration device capable of measuring volumetric flow to an accuracy of 1 percent. To calibrate the gas flow meter using the RGFM, proceed as follows: While the sorbent trap monitoring system is sampling the actual stack gas or a compressed gas mixture that simulates the stack gas composition (as applicable), connect the RGFM to the discharge of the system. Care should be taken to minimize the dead volume between the sample flow meter being tested and the RGFM. Concurrently measure dry gas volume with the RGFM and the flow meter being calibrated the for a minimum of 10 minutes at each of three flow rates covering the typical range of operation of the sorbent trap monitoring system. For each 10-minute (or longer) data collection period, record the total sample volume, in units of dry standard cubic meters (dscm), measured by the RGFM and the gas flow meter being tested.</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9.2.2.3</w:t>
      </w:r>
      <w:r>
        <w:rPr>
          <w:rFonts w:ascii="Times New Roman" w:hAnsi="Times New Roman"/>
          <w:color w:val="000000"/>
          <w:szCs w:val="24"/>
        </w:rPr>
        <w:t xml:space="preserve"> </w:t>
      </w:r>
      <w:r>
        <w:rPr>
          <w:szCs w:val="24"/>
        </w:rPr>
        <w:t>Initial Calibration Factor</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Calculate an individual calibration factor Yi at each tested flow rate from Section 9.2.2.1 or 9.2.2.2 of this </w:t>
      </w:r>
      <w:bookmarkStart w:id="25" w:name="Document1zzSDUNumber1153"/>
      <w:bookmarkEnd w:id="25"/>
      <w:r w:rsidRPr="00556FD5">
        <w:rPr>
          <w:szCs w:val="24"/>
          <w:u w:val="none"/>
        </w:rPr>
        <w:t xml:space="preserve">Exhibit (as applicable), by taking the ratio of the reference sample volume to the sample volume recorded by the gas flow meter. Average the three Yi values, to determine Y, the calibration factor for the flow meter. Each of the three individual values of Yi must be within </w:t>
      </w:r>
      <w:r>
        <w:rPr>
          <w:szCs w:val="24"/>
          <w:u w:val="none"/>
        </w:rPr>
        <w:t xml:space="preserve">± </w:t>
      </w:r>
      <w:r w:rsidRPr="00556FD5">
        <w:rPr>
          <w:szCs w:val="24"/>
          <w:u w:val="none"/>
        </w:rPr>
        <w:t>0.02 of Y. Except as otherwise provided in Sections 9.2.2.4 and 9.2.2.5 of this Exhibit, use the average Y value from the three level calibration to adjust all subsequent gas volume measurements made with the gas flow 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9.2.2.4</w:t>
      </w:r>
      <w:r>
        <w:rPr>
          <w:rFonts w:ascii="Times New Roman" w:hAnsi="Times New Roman"/>
          <w:color w:val="000000"/>
          <w:szCs w:val="24"/>
        </w:rPr>
        <w:t xml:space="preserve"> </w:t>
      </w:r>
      <w:r w:rsidRPr="00556FD5">
        <w:rPr>
          <w:szCs w:val="24"/>
        </w:rPr>
        <w:t>In</w:t>
      </w:r>
      <w:r>
        <w:rPr>
          <w:szCs w:val="24"/>
        </w:rPr>
        <w:t>itial On-Site Calibration Check</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For a mass flow meter that was initially calibrated using a compressed gas mixture, an on-site calibration check must be performed before using the flow meter to provide data for this </w:t>
      </w:r>
      <w:r w:rsidR="000E2FA0">
        <w:rPr>
          <w:szCs w:val="24"/>
          <w:u w:val="none"/>
        </w:rPr>
        <w:t>P</w:t>
      </w:r>
      <w:r w:rsidRPr="00556FD5">
        <w:rPr>
          <w:szCs w:val="24"/>
          <w:u w:val="none"/>
        </w:rPr>
        <w:t>art. While sampling stack gas, check the calibration of the flow meter at one intermediate flow rate typical of normal operation of the monitoring system. Follow the basic procedures in Section 9.2.2.1 or 9.2.2.2 of this Exhibit. If the on-site calibration check shows that the value of Yi, the calibration factor at the tested flow rate, differs by more than 5 percent from the value of Y obtained in the initial calibration of the meter, repeat the full 3-level calibration of the meter using stack gas to determine a new value of Y, and apply the new Y value to all subsequent gas volume measurements made with the gas flow 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26" w:name="Document1zzSDUNumber1154"/>
      <w:bookmarkEnd w:id="26"/>
      <w:r w:rsidRPr="00556FD5">
        <w:rPr>
          <w:rFonts w:ascii="Times New Roman" w:hAnsi="Times New Roman"/>
          <w:color w:val="000000"/>
          <w:szCs w:val="24"/>
        </w:rPr>
        <w:t>9.2.2.5</w:t>
      </w:r>
      <w:r>
        <w:rPr>
          <w:rFonts w:ascii="Times New Roman" w:hAnsi="Times New Roman"/>
          <w:color w:val="000000"/>
          <w:szCs w:val="24"/>
        </w:rPr>
        <w:t xml:space="preserve"> </w:t>
      </w:r>
      <w:r w:rsidRPr="00556FD5">
        <w:rPr>
          <w:szCs w:val="24"/>
        </w:rPr>
        <w:t>Ongoing</w:t>
      </w:r>
      <w:r>
        <w:rPr>
          <w:szCs w:val="24"/>
        </w:rPr>
        <w:t xml:space="preserve"> Quality Assurance</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Recalibrate the gas flow meter quarterly at one intermediate flow rate setting representative of normal operation of the monitoring system. Follow the basic procedures in Section 9.2.2.1 or 9.2.2.2 of this Exhibit. If a quarterly recalibration shows that the value of Yi, the calibration factor at the tested flow rate, differs from the current value of Y by more than 5 percent, repeat the full 3-level calibration of the meter to determine a new value of Y, and apply the new Y value to all subsequent gas volume measurements made with the gas flow 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9.3 Thermocouple</w:t>
      </w:r>
      <w:r>
        <w:rPr>
          <w:rFonts w:ascii="Times New Roman" w:hAnsi="Times New Roman"/>
          <w:color w:val="000000"/>
          <w:szCs w:val="24"/>
        </w:rPr>
        <w:t>s and Other Temperature Sensors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Use the procedures and criteria in </w:t>
      </w:r>
      <w:hyperlink r:id="rId30" w:history="1">
        <w:r w:rsidRPr="00556FD5">
          <w:rPr>
            <w:szCs w:val="24"/>
            <w:u w:val="none"/>
          </w:rPr>
          <w:t>Section 10.3</w:t>
        </w:r>
      </w:hyperlink>
      <w:r w:rsidRPr="00556FD5">
        <w:rPr>
          <w:szCs w:val="24"/>
          <w:u w:val="none"/>
        </w:rPr>
        <w:t xml:space="preserve"> of Method 2 in appendix A-1 to 40 CFR 60, incorporated by reference in Section 225.140,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w:t>
      </w:r>
      <w:r>
        <w:rPr>
          <w:szCs w:val="24"/>
          <w:u w:val="none"/>
        </w:rPr>
        <w:t xml:space="preserve"> ±</w:t>
      </w:r>
      <w:r w:rsidRPr="00556FD5">
        <w:rPr>
          <w:szCs w:val="24"/>
          <w:u w:val="none"/>
        </w:rPr>
        <w:t xml:space="preserve"> 1.5 percent of the temperature measured with the reference sensor, otherwise the sensor may not </w:t>
      </w:r>
      <w:bookmarkStart w:id="27" w:name="Document1zzSDUNumber1155"/>
      <w:bookmarkEnd w:id="27"/>
      <w:r w:rsidRPr="00556FD5">
        <w:rPr>
          <w:szCs w:val="24"/>
          <w:u w:val="none"/>
        </w:rPr>
        <w:t>continue to be used.</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9.4 Barometer</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Calibrate against a mercury barometer. Calibration must be performed prior to initial use and at least quarterly thereafter. At each calibration point, the absolute pressure measured by the barometer must agree to within </w:t>
      </w:r>
      <w:r>
        <w:rPr>
          <w:szCs w:val="24"/>
          <w:u w:val="none"/>
        </w:rPr>
        <w:t>±</w:t>
      </w:r>
      <w:r w:rsidRPr="00556FD5">
        <w:rPr>
          <w:szCs w:val="24"/>
          <w:u w:val="none"/>
        </w:rPr>
        <w:t xml:space="preserve"> 10 </w:t>
      </w:r>
      <w:r w:rsidR="000E2FA0">
        <w:rPr>
          <w:szCs w:val="24"/>
          <w:u w:val="none"/>
        </w:rPr>
        <w:t>mmHg</w:t>
      </w:r>
      <w:r w:rsidRPr="00556FD5">
        <w:rPr>
          <w:szCs w:val="24"/>
          <w:u w:val="none"/>
        </w:rPr>
        <w:t xml:space="preserve"> of the pressure measured by the mercury barometer, otherwise the barometer may not continue to be used.</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9.5 Other Sensors and Gauges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Calibrate all other sensors and gauges according to the procedures specified by the instrument manufacturers.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9.</w:t>
      </w:r>
      <w:r>
        <w:rPr>
          <w:rFonts w:ascii="Times New Roman" w:hAnsi="Times New Roman"/>
          <w:color w:val="000000"/>
          <w:szCs w:val="24"/>
        </w:rPr>
        <w:t>6 Analytical System Calibration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bookmarkStart w:id="28" w:name="Document1zzSDUNumber1156"/>
      <w:bookmarkEnd w:id="28"/>
      <w:r w:rsidRPr="00556FD5">
        <w:rPr>
          <w:szCs w:val="24"/>
          <w:u w:val="none"/>
        </w:rPr>
        <w:t xml:space="preserve">See </w:t>
      </w:r>
      <w:hyperlink r:id="rId31" w:history="1">
        <w:r w:rsidRPr="00556FD5">
          <w:rPr>
            <w:szCs w:val="24"/>
            <w:u w:val="none"/>
          </w:rPr>
          <w:t>Section 10.1</w:t>
        </w:r>
      </w:hyperlink>
      <w:r w:rsidRPr="00556FD5">
        <w:rPr>
          <w:szCs w:val="24"/>
          <w:u w:val="none"/>
        </w:rPr>
        <w:t xml:space="preserve"> of this Exhibit.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10.0 Analytical Procedures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The analysis of the mercury samples may be conducted using any instrument or technology capable of quantifying total mercury from the sorbent media and meeting the performance criteria in </w:t>
      </w:r>
      <w:hyperlink r:id="rId32" w:history="1">
        <w:r w:rsidRPr="00556FD5">
          <w:rPr>
            <w:szCs w:val="24"/>
            <w:u w:val="none"/>
          </w:rPr>
          <w:t>Section 8</w:t>
        </w:r>
      </w:hyperlink>
      <w:r w:rsidRPr="00556FD5">
        <w:rPr>
          <w:szCs w:val="24"/>
          <w:u w:val="none"/>
        </w:rPr>
        <w:t xml:space="preserve"> of this Exhibit.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0.1 Analyzer System Calibration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 xml:space="preserve">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w:t>
      </w:r>
      <w:bookmarkStart w:id="29" w:name="Document1zzSDUNumber1157"/>
      <w:bookmarkEnd w:id="29"/>
      <w:r w:rsidRPr="00556FD5">
        <w:rPr>
          <w:rFonts w:ascii="Times New Roman" w:hAnsi="Times New Roman"/>
          <w:color w:val="000000"/>
          <w:szCs w:val="24"/>
        </w:rPr>
        <w:t>system is appropriately calibrated prior to sample analysis. The calibration curve ranges should be determined based on the anticipated level of mercury mass on the sorbent media. Knowledge of estimated stack mercury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w:t>
      </w:r>
      <w:r w:rsidRPr="00556FD5">
        <w:rPr>
          <w:rFonts w:ascii="Times New Roman" w:hAnsi="Times New Roman"/>
          <w:color w:val="000000"/>
          <w:szCs w:val="24"/>
          <w:vertAlign w:val="superscript"/>
        </w:rPr>
        <w:t>2</w:t>
      </w:r>
      <w:r w:rsidRPr="00556FD5">
        <w:rPr>
          <w:rFonts w:ascii="Times New Roman" w:hAnsi="Times New Roman"/>
          <w:color w:val="000000"/>
          <w:szCs w:val="24"/>
        </w:rPr>
        <w:t xml:space="preserve">, must be </w:t>
      </w:r>
      <w:r>
        <w:rPr>
          <w:rFonts w:ascii="Times New Roman" w:hAnsi="Times New Roman"/>
          <w:color w:val="000000"/>
          <w:szCs w:val="24"/>
        </w:rPr>
        <w:t>≥</w:t>
      </w:r>
      <w:r w:rsidRPr="00556FD5">
        <w:rPr>
          <w:rFonts w:ascii="Times New Roman" w:hAnsi="Times New Roman"/>
          <w:color w:val="000000"/>
          <w:szCs w:val="24"/>
        </w:rPr>
        <w:t xml:space="preserve"> 0.99, and the analyzer response must be within </w:t>
      </w:r>
      <w:r>
        <w:rPr>
          <w:szCs w:val="24"/>
        </w:rPr>
        <w:t>±</w:t>
      </w:r>
      <w:r w:rsidRPr="00556FD5">
        <w:rPr>
          <w:rFonts w:ascii="Times New Roman" w:hAnsi="Times New Roman"/>
          <w:color w:val="000000"/>
          <w:szCs w:val="24"/>
        </w:rPr>
        <w:t xml:space="preserve">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w:t>
      </w:r>
      <w:r>
        <w:rPr>
          <w:szCs w:val="24"/>
        </w:rPr>
        <w:t>±</w:t>
      </w:r>
      <w:r w:rsidRPr="00556FD5">
        <w:rPr>
          <w:rFonts w:ascii="Times New Roman" w:hAnsi="Times New Roman"/>
          <w:color w:val="000000"/>
          <w:szCs w:val="24"/>
        </w:rPr>
        <w:t xml:space="preserve"> 10 percent of the expected value.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10.2 Sample Preparation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bookmarkStart w:id="30" w:name="Document1zzSDUNumber1158"/>
      <w:bookmarkEnd w:id="30"/>
      <w:r w:rsidRPr="00556FD5">
        <w:rPr>
          <w:szCs w:val="24"/>
          <w:u w:val="none"/>
        </w:rPr>
        <w:t>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Pr>
          <w:rFonts w:ascii="Times New Roman" w:hAnsi="Times New Roman"/>
          <w:color w:val="000000"/>
          <w:szCs w:val="24"/>
        </w:rPr>
        <w:t>10.3 Spike Recovery Study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Before analyzing any field samples, the laboratory must demonstrate the ability to recover and quantify mercury from the sorbent media by performing the following spike recovery study for sorbent media traps spiked with elemental mercury.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Using the procedures described in Sections 5.2 and 11.1 of this Exhibit, spike the third section of nine sorbent traps with gaseous Hg</w:t>
      </w:r>
      <w:r w:rsidRPr="00556FD5">
        <w:rPr>
          <w:rFonts w:ascii="Times New Roman" w:hAnsi="Times New Roman"/>
          <w:color w:val="000000"/>
          <w:szCs w:val="24"/>
          <w:vertAlign w:val="superscript"/>
        </w:rPr>
        <w:t>0</w:t>
      </w:r>
      <w:r w:rsidRPr="00556FD5">
        <w:rPr>
          <w:rFonts w:ascii="Times New Roman" w:hAnsi="Times New Roman"/>
          <w:color w:val="000000"/>
          <w:szCs w:val="24"/>
        </w:rPr>
        <w:t xml:space="preserve">,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w:t>
      </w:r>
      <w:bookmarkStart w:id="31" w:name="Document1zzSDUNumber1159"/>
      <w:bookmarkEnd w:id="31"/>
      <w:r w:rsidRPr="00556FD5">
        <w:rPr>
          <w:rFonts w:ascii="Times New Roman" w:hAnsi="Times New Roman"/>
          <w:color w:val="000000"/>
          <w:szCs w:val="24"/>
        </w:rPr>
        <w:t>study is required for each sorbent material. If multiple ranges are calibrated, a separate spike recovery study is required for each range.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10.4 Field Sample Analysis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Analyze the sorbent trap samples following the same procedures that were used for conducting the spike recovery study. The three sections of each sorbent trap must be analyzed separately (i.e., </w:t>
      </w:r>
      <w:hyperlink r:id="rId33" w:history="1">
        <w:r w:rsidRPr="00556FD5">
          <w:rPr>
            <w:szCs w:val="24"/>
            <w:u w:val="none"/>
          </w:rPr>
          <w:t>section 1</w:t>
        </w:r>
      </w:hyperlink>
      <w:r w:rsidRPr="00556FD5">
        <w:rPr>
          <w:szCs w:val="24"/>
          <w:u w:val="none"/>
        </w:rPr>
        <w:t xml:space="preserve">, then </w:t>
      </w:r>
      <w:hyperlink r:id="rId34" w:history="1">
        <w:r w:rsidRPr="00556FD5">
          <w:rPr>
            <w:szCs w:val="24"/>
            <w:u w:val="none"/>
          </w:rPr>
          <w:t>section 2</w:t>
        </w:r>
      </w:hyperlink>
      <w:r w:rsidRPr="00556FD5">
        <w:rPr>
          <w:szCs w:val="24"/>
          <w:u w:val="none"/>
        </w:rPr>
        <w:t xml:space="preserve">, then </w:t>
      </w:r>
      <w:hyperlink r:id="rId35" w:history="1">
        <w:r w:rsidRPr="00556FD5">
          <w:rPr>
            <w:szCs w:val="24"/>
            <w:u w:val="none"/>
          </w:rPr>
          <w:t>section 3</w:t>
        </w:r>
      </w:hyperlink>
      <w:r w:rsidRPr="00556FD5">
        <w:rPr>
          <w:szCs w:val="24"/>
          <w:u w:val="none"/>
        </w:rPr>
        <w:t xml:space="preserve">). Quantify the total mass of mercury for each section based on analytical system response and the calibration curve from </w:t>
      </w:r>
      <w:hyperlink r:id="rId36" w:history="1">
        <w:r w:rsidRPr="00556FD5">
          <w:rPr>
            <w:szCs w:val="24"/>
            <w:u w:val="none"/>
          </w:rPr>
          <w:t>Section 10.1</w:t>
        </w:r>
      </w:hyperlink>
      <w:r w:rsidRPr="00556FD5">
        <w:rPr>
          <w:szCs w:val="24"/>
          <w:u w:val="none"/>
        </w:rPr>
        <w:t xml:space="preserve"> of this Exhibit. Determine the spike recovery from sorbent trap </w:t>
      </w:r>
      <w:hyperlink r:id="rId37" w:history="1">
        <w:r w:rsidRPr="00556FD5">
          <w:rPr>
            <w:szCs w:val="24"/>
            <w:u w:val="none"/>
          </w:rPr>
          <w:t>section 3</w:t>
        </w:r>
      </w:hyperlink>
      <w:r w:rsidRPr="00556FD5">
        <w:rPr>
          <w:szCs w:val="24"/>
          <w:u w:val="none"/>
        </w:rPr>
        <w:t xml:space="preserve">. The spike recovery must be no less than 75 percent and no greater than 125 percent. To report the final mercury mass for each trap, add together the mercury masses collected in trap </w:t>
      </w:r>
      <w:hyperlink r:id="rId38" w:history="1">
        <w:r w:rsidRPr="00556FD5">
          <w:rPr>
            <w:szCs w:val="24"/>
            <w:u w:val="none"/>
          </w:rPr>
          <w:t>sections 1</w:t>
        </w:r>
      </w:hyperlink>
      <w:r w:rsidRPr="00556FD5">
        <w:rPr>
          <w:szCs w:val="24"/>
          <w:u w:val="none"/>
        </w:rPr>
        <w:t xml:space="preserve"> and </w:t>
      </w:r>
      <w:hyperlink r:id="rId39" w:history="1">
        <w:r w:rsidRPr="00556FD5">
          <w:rPr>
            <w:szCs w:val="24"/>
            <w:u w:val="none"/>
          </w:rPr>
          <w:t>2</w:t>
        </w:r>
      </w:hyperlink>
      <w:r w:rsidRPr="00556FD5">
        <w:rPr>
          <w:szCs w:val="24"/>
          <w:u w:val="none"/>
        </w:rPr>
        <w:t>.</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11.0</w:t>
      </w:r>
      <w:r>
        <w:rPr>
          <w:rFonts w:ascii="Times New Roman" w:hAnsi="Times New Roman"/>
          <w:color w:val="000000"/>
          <w:szCs w:val="24"/>
        </w:rPr>
        <w:t xml:space="preserve"> Calculations and Data Analysis</w:t>
      </w:r>
    </w:p>
    <w:p w:rsidR="005873EC" w:rsidRPr="00556FD5" w:rsidRDefault="005873EC" w:rsidP="005873EC">
      <w:pPr>
        <w:widowControl w:val="0"/>
        <w:jc w:val="center"/>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32" w:name="Document1zzSDUNumber1160"/>
      <w:bookmarkEnd w:id="32"/>
      <w:r w:rsidRPr="00556FD5">
        <w:rPr>
          <w:rFonts w:ascii="Times New Roman" w:hAnsi="Times New Roman"/>
          <w:color w:val="000000"/>
          <w:szCs w:val="24"/>
        </w:rPr>
        <w:t>11.1 Calculatio</w:t>
      </w:r>
      <w:r>
        <w:rPr>
          <w:rFonts w:ascii="Times New Roman" w:hAnsi="Times New Roman"/>
          <w:color w:val="000000"/>
          <w:szCs w:val="24"/>
        </w:rPr>
        <w:t>n of Pre-Sampling Spiking Level</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rPr>
          <w:rFonts w:ascii="Times New Roman" w:hAnsi="Times New Roman"/>
          <w:color w:val="000000"/>
          <w:szCs w:val="24"/>
        </w:rPr>
      </w:pPr>
      <w:r w:rsidRPr="00556FD5">
        <w:rPr>
          <w:rFonts w:ascii="Times New Roman" w:hAnsi="Times New Roman"/>
          <w:color w:val="000000"/>
          <w:szCs w:val="24"/>
        </w:rPr>
        <w:t xml:space="preserve">Determine sorbent trap </w:t>
      </w:r>
      <w:hyperlink r:id="rId40" w:history="1">
        <w:r w:rsidRPr="00556FD5">
          <w:rPr>
            <w:rFonts w:ascii="Times New Roman" w:hAnsi="Times New Roman"/>
            <w:color w:val="000000"/>
            <w:szCs w:val="24"/>
          </w:rPr>
          <w:t>section 3</w:t>
        </w:r>
      </w:hyperlink>
      <w:r w:rsidRPr="00556FD5">
        <w:rPr>
          <w:rFonts w:ascii="Times New Roman" w:hAnsi="Times New Roman"/>
          <w:color w:val="000000"/>
          <w:szCs w:val="24"/>
        </w:rPr>
        <w:t xml:space="preserve"> spiking level using estimates of the stack mercury concentration, the target sample flow rate, and the expected sample duration. First, calculate the expected mercury mass that will be collected in section 1 of the trap. The pre-sampling spike must be within </w:t>
      </w:r>
      <w:r>
        <w:rPr>
          <w:szCs w:val="24"/>
        </w:rPr>
        <w:t>±</w:t>
      </w:r>
      <w:r w:rsidRPr="00556FD5">
        <w:rPr>
          <w:rFonts w:ascii="Times New Roman" w:hAnsi="Times New Roman"/>
          <w:color w:val="000000"/>
          <w:szCs w:val="24"/>
        </w:rPr>
        <w:t xml:space="preserve"> 50 percent of this mass. Example calculation: For an estimated stack mercury concentration of 5 µg/m</w:t>
      </w:r>
      <w:r w:rsidRPr="00556FD5">
        <w:rPr>
          <w:rFonts w:ascii="Times New Roman" w:hAnsi="Times New Roman"/>
          <w:color w:val="000000"/>
          <w:szCs w:val="24"/>
          <w:vertAlign w:val="superscript"/>
        </w:rPr>
        <w:t>3</w:t>
      </w:r>
      <w:r w:rsidRPr="00556FD5">
        <w:rPr>
          <w:rFonts w:ascii="Times New Roman" w:hAnsi="Times New Roman"/>
          <w:color w:val="000000"/>
          <w:szCs w:val="24"/>
        </w:rPr>
        <w:t>, a target sample rate of 0.30 L/min, and a sample duration of 5 days: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ind w:left="360" w:hanging="360"/>
        <w:rPr>
          <w:rFonts w:ascii="Times New Roman" w:hAnsi="Times New Roman"/>
          <w:color w:val="000000"/>
          <w:szCs w:val="24"/>
        </w:rPr>
      </w:pPr>
      <w:r w:rsidRPr="00556FD5">
        <w:rPr>
          <w:rFonts w:ascii="Times New Roman" w:hAnsi="Times New Roman"/>
          <w:color w:val="000000"/>
          <w:szCs w:val="24"/>
        </w:rPr>
        <w:t>(0.30 L/min) (1440 min/day) (5 days) (10</w:t>
      </w:r>
      <w:r w:rsidRPr="00556FD5">
        <w:rPr>
          <w:rFonts w:ascii="Times New Roman" w:hAnsi="Times New Roman"/>
          <w:color w:val="000000"/>
          <w:szCs w:val="24"/>
          <w:vertAlign w:val="superscript"/>
        </w:rPr>
        <w:t>-3</w:t>
      </w:r>
      <w:r w:rsidRPr="00556FD5">
        <w:rPr>
          <w:rFonts w:ascii="Times New Roman" w:hAnsi="Times New Roman"/>
          <w:color w:val="000000"/>
          <w:szCs w:val="24"/>
        </w:rPr>
        <w:t xml:space="preserve"> m</w:t>
      </w:r>
      <w:r w:rsidRPr="00556FD5">
        <w:rPr>
          <w:rFonts w:ascii="Times New Roman" w:hAnsi="Times New Roman"/>
          <w:color w:val="000000"/>
          <w:szCs w:val="24"/>
          <w:vertAlign w:val="superscript"/>
        </w:rPr>
        <w:t>3</w:t>
      </w:r>
      <w:r w:rsidRPr="00556FD5">
        <w:rPr>
          <w:rFonts w:ascii="Times New Roman" w:hAnsi="Times New Roman"/>
          <w:color w:val="000000"/>
          <w:szCs w:val="24"/>
        </w:rPr>
        <w:t>/liter) (5µg/m</w:t>
      </w:r>
      <w:r w:rsidRPr="00556FD5">
        <w:rPr>
          <w:rFonts w:ascii="Times New Roman" w:hAnsi="Times New Roman"/>
          <w:color w:val="000000"/>
          <w:szCs w:val="24"/>
          <w:vertAlign w:val="superscript"/>
        </w:rPr>
        <w:t>3</w:t>
      </w:r>
      <w:r w:rsidRPr="00556FD5">
        <w:rPr>
          <w:rFonts w:ascii="Times New Roman" w:hAnsi="Times New Roman"/>
          <w:color w:val="000000"/>
          <w:szCs w:val="24"/>
        </w:rPr>
        <w:t>) = 10.8 µg</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ind w:left="360" w:hanging="360"/>
        <w:rPr>
          <w:rFonts w:ascii="Times New Roman" w:hAnsi="Times New Roman"/>
          <w:color w:val="000000"/>
          <w:szCs w:val="24"/>
        </w:rPr>
      </w:pPr>
      <w:r w:rsidRPr="00556FD5">
        <w:rPr>
          <w:rFonts w:ascii="Times New Roman" w:hAnsi="Times New Roman"/>
          <w:color w:val="000000"/>
          <w:szCs w:val="24"/>
        </w:rPr>
        <w:t xml:space="preserve">A pre-sampling spike of 10.8 µg </w:t>
      </w:r>
      <w:r>
        <w:rPr>
          <w:szCs w:val="24"/>
        </w:rPr>
        <w:t>±</w:t>
      </w:r>
      <w:r w:rsidRPr="00556FD5">
        <w:rPr>
          <w:rFonts w:ascii="Times New Roman" w:hAnsi="Times New Roman"/>
          <w:color w:val="000000"/>
          <w:szCs w:val="24"/>
        </w:rPr>
        <w:t xml:space="preserve"> 50 percent is, therefore, appropriate.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11.2 Calculations for Flow-Proportional Sampling</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For the first hour of the data collection period, determine the reference ratio of the stack gas volumetric flow rate to the sample flow rate, as follows:</w:t>
      </w:r>
    </w:p>
    <w:p w:rsidR="005873EC" w:rsidRPr="00556FD5" w:rsidRDefault="005873EC" w:rsidP="005873EC">
      <w:pPr>
        <w:widowControl w:val="0"/>
        <w:rPr>
          <w:rFonts w:ascii="Times New Roman" w:hAnsi="Times New Roman"/>
          <w:color w:val="000000"/>
          <w:szCs w:val="24"/>
        </w:rPr>
      </w:pPr>
    </w:p>
    <w:p w:rsidR="005873EC" w:rsidRPr="00556FD5" w:rsidRDefault="005873EC" w:rsidP="00E96CF5">
      <w:pPr>
        <w:widowControl w:val="0"/>
        <w:ind w:left="3897" w:firstLine="27"/>
        <w:rPr>
          <w:rFonts w:ascii="Times New Roman" w:hAnsi="Times New Roman"/>
          <w:color w:val="000000"/>
          <w:szCs w:val="24"/>
        </w:rPr>
      </w:pPr>
      <w:r w:rsidRPr="00556FD5">
        <w:rPr>
          <w:rFonts w:ascii="Times New Roman" w:hAnsi="Times New Roman"/>
          <w:color w:val="000000"/>
          <w:position w:val="-32"/>
          <w:szCs w:val="24"/>
        </w:rPr>
        <w:object w:dxaOrig="13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75pt" o:ole="">
            <v:imagedata r:id="rId41" o:title=""/>
          </v:shape>
          <o:OLEObject Type="Embed" ProgID="Equation.3" ShapeID="_x0000_i1025" DrawAspect="Content" ObjectID="_1401800607" r:id="rId42"/>
        </w:object>
      </w:r>
      <w:r>
        <w:rPr>
          <w:rFonts w:ascii="Times New Roman" w:hAnsi="Times New Roman"/>
          <w:color w:val="000000"/>
          <w:szCs w:val="24"/>
        </w:rPr>
        <w:tab/>
      </w:r>
      <w:r>
        <w:rPr>
          <w:rFonts w:ascii="Times New Roman" w:hAnsi="Times New Roman"/>
          <w:color w:val="000000"/>
          <w:szCs w:val="24"/>
        </w:rPr>
        <w:tab/>
      </w:r>
      <w:r w:rsidR="00E96CF5">
        <w:rPr>
          <w:rFonts w:ascii="Times New Roman" w:hAnsi="Times New Roman"/>
          <w:color w:val="000000"/>
          <w:szCs w:val="24"/>
        </w:rPr>
        <w:tab/>
      </w:r>
      <w:r w:rsidRPr="00556FD5">
        <w:rPr>
          <w:rFonts w:ascii="Times New Roman" w:hAnsi="Times New Roman"/>
          <w:color w:val="000000"/>
          <w:szCs w:val="24"/>
        </w:rPr>
        <w:t>(Eq</w:t>
      </w:r>
      <w:r w:rsidR="000E2FA0">
        <w:rPr>
          <w:rFonts w:ascii="Times New Roman" w:hAnsi="Times New Roman"/>
          <w:color w:val="000000"/>
          <w:szCs w:val="24"/>
        </w:rPr>
        <w:t>.</w:t>
      </w:r>
      <w:r w:rsidRPr="00556FD5">
        <w:rPr>
          <w:rFonts w:ascii="Times New Roman" w:hAnsi="Times New Roman"/>
          <w:color w:val="000000"/>
          <w:szCs w:val="24"/>
        </w:rPr>
        <w:t xml:space="preserve"> K-1)</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widowControl w:val="0"/>
        <w:ind w:left="72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8676" w:type="dxa"/>
        <w:tblInd w:w="810" w:type="dxa"/>
        <w:tblLook w:val="0000" w:firstRow="0" w:lastRow="0" w:firstColumn="0" w:lastColumn="0" w:noHBand="0" w:noVBand="0"/>
      </w:tblPr>
      <w:tblGrid>
        <w:gridCol w:w="873"/>
        <w:gridCol w:w="288"/>
        <w:gridCol w:w="7515"/>
      </w:tblGrid>
      <w:tr w:rsidR="005873EC" w:rsidTr="00E96CF5">
        <w:tblPrEx>
          <w:tblCellMar>
            <w:top w:w="0" w:type="dxa"/>
            <w:bottom w:w="0" w:type="dxa"/>
          </w:tblCellMar>
        </w:tblPrEx>
        <w:trPr>
          <w:trHeight w:val="378"/>
        </w:trPr>
        <w:tc>
          <w:tcPr>
            <w:tcW w:w="873" w:type="dxa"/>
          </w:tcPr>
          <w:p w:rsidR="005873EC" w:rsidRPr="003922EF" w:rsidRDefault="005873EC" w:rsidP="00A32AE1">
            <w:pPr>
              <w:widowControl w:val="0"/>
              <w:ind w:left="225"/>
              <w:rPr>
                <w:rFonts w:ascii="Times New Roman" w:hAnsi="Times New Roman"/>
                <w:color w:val="000000"/>
                <w:szCs w:val="24"/>
              </w:rPr>
            </w:pPr>
            <w:r w:rsidRPr="003922EF">
              <w:rPr>
                <w:rFonts w:ascii="Times New Roman" w:hAnsi="Times New Roman"/>
                <w:color w:val="000000"/>
                <w:szCs w:val="24"/>
              </w:rPr>
              <w:t>R</w:t>
            </w:r>
            <w:r w:rsidRPr="003922EF">
              <w:rPr>
                <w:rFonts w:ascii="Times New Roman" w:hAnsi="Times New Roman"/>
                <w:color w:val="000000"/>
                <w:szCs w:val="24"/>
                <w:vertAlign w:val="subscript"/>
              </w:rPr>
              <w:t>ref</w:t>
            </w:r>
          </w:p>
        </w:tc>
        <w:tc>
          <w:tcPr>
            <w:tcW w:w="288" w:type="dxa"/>
          </w:tcPr>
          <w:p w:rsidR="005873EC" w:rsidRDefault="005873EC" w:rsidP="00A32AE1">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515"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Reference ratio of hourly stack gas flow rate to hourly sample flow rate</w:t>
            </w:r>
            <w:r w:rsidR="000E2FA0">
              <w:rPr>
                <w:rFonts w:ascii="Times New Roman" w:hAnsi="Times New Roman"/>
                <w:color w:val="000000"/>
                <w:szCs w:val="24"/>
              </w:rPr>
              <w:t>.</w:t>
            </w:r>
          </w:p>
        </w:tc>
      </w:tr>
      <w:tr w:rsidR="005873EC" w:rsidTr="00E96CF5">
        <w:tblPrEx>
          <w:tblCellMar>
            <w:top w:w="0" w:type="dxa"/>
            <w:bottom w:w="0" w:type="dxa"/>
          </w:tblCellMar>
        </w:tblPrEx>
        <w:trPr>
          <w:trHeight w:val="369"/>
        </w:trPr>
        <w:tc>
          <w:tcPr>
            <w:tcW w:w="873" w:type="dxa"/>
          </w:tcPr>
          <w:p w:rsidR="005873EC" w:rsidRPr="003922EF" w:rsidRDefault="005873EC" w:rsidP="00A32AE1">
            <w:pPr>
              <w:widowControl w:val="0"/>
              <w:ind w:left="225"/>
              <w:rPr>
                <w:rFonts w:ascii="Times New Roman" w:hAnsi="Times New Roman"/>
                <w:color w:val="000000"/>
                <w:szCs w:val="24"/>
              </w:rPr>
            </w:pPr>
            <w:r w:rsidRPr="003922EF">
              <w:rPr>
                <w:rFonts w:ascii="Times New Roman" w:hAnsi="Times New Roman"/>
                <w:color w:val="000000"/>
                <w:szCs w:val="24"/>
              </w:rPr>
              <w:t>Q</w:t>
            </w:r>
            <w:r w:rsidRPr="003922EF">
              <w:rPr>
                <w:rFonts w:ascii="Times New Roman" w:hAnsi="Times New Roman"/>
                <w:color w:val="000000"/>
                <w:szCs w:val="24"/>
                <w:vertAlign w:val="subscript"/>
              </w:rPr>
              <w:t>ref</w:t>
            </w:r>
          </w:p>
        </w:tc>
        <w:tc>
          <w:tcPr>
            <w:tcW w:w="288" w:type="dxa"/>
          </w:tcPr>
          <w:p w:rsidR="005873EC" w:rsidRDefault="005873EC" w:rsidP="00A32AE1">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515"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Average stack gas volumetric flow rate for first hour of collection period</w:t>
            </w:r>
            <w:r w:rsidR="000E2FA0">
              <w:rPr>
                <w:rFonts w:ascii="Times New Roman" w:hAnsi="Times New Roman"/>
                <w:color w:val="000000"/>
                <w:szCs w:val="24"/>
              </w:rPr>
              <w:t>.</w:t>
            </w:r>
          </w:p>
        </w:tc>
      </w:tr>
      <w:tr w:rsidR="005873EC" w:rsidTr="00E96CF5">
        <w:tblPrEx>
          <w:tblCellMar>
            <w:top w:w="0" w:type="dxa"/>
            <w:bottom w:w="0" w:type="dxa"/>
          </w:tblCellMar>
        </w:tblPrEx>
        <w:trPr>
          <w:trHeight w:val="630"/>
        </w:trPr>
        <w:tc>
          <w:tcPr>
            <w:tcW w:w="873" w:type="dxa"/>
          </w:tcPr>
          <w:p w:rsidR="005873EC" w:rsidRPr="003922EF" w:rsidRDefault="005873EC" w:rsidP="00A32AE1">
            <w:pPr>
              <w:widowControl w:val="0"/>
              <w:ind w:left="225"/>
              <w:rPr>
                <w:rFonts w:ascii="Times New Roman" w:hAnsi="Times New Roman"/>
                <w:color w:val="000000"/>
                <w:szCs w:val="24"/>
              </w:rPr>
            </w:pPr>
            <w:r w:rsidRPr="003922EF">
              <w:rPr>
                <w:rFonts w:ascii="Times New Roman" w:hAnsi="Times New Roman"/>
                <w:color w:val="000000"/>
                <w:szCs w:val="24"/>
              </w:rPr>
              <w:t>F</w:t>
            </w:r>
            <w:r w:rsidRPr="003922EF">
              <w:rPr>
                <w:rFonts w:ascii="Times New Roman" w:hAnsi="Times New Roman"/>
                <w:color w:val="000000"/>
                <w:szCs w:val="24"/>
                <w:vertAlign w:val="subscript"/>
              </w:rPr>
              <w:t>ref</w:t>
            </w:r>
          </w:p>
        </w:tc>
        <w:tc>
          <w:tcPr>
            <w:tcW w:w="288" w:type="dxa"/>
          </w:tcPr>
          <w:p w:rsidR="005873EC" w:rsidRDefault="005873EC" w:rsidP="00A32AE1">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515"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Average sample flow rate for first hour of the collection period, in appropriate units (e.g., liters/min, cc/min, dscm/min)</w:t>
            </w:r>
            <w:r w:rsidR="000E2FA0">
              <w:rPr>
                <w:rFonts w:ascii="Times New Roman" w:hAnsi="Times New Roman"/>
                <w:color w:val="000000"/>
                <w:szCs w:val="24"/>
              </w:rPr>
              <w:t>.</w:t>
            </w:r>
          </w:p>
        </w:tc>
      </w:tr>
      <w:tr w:rsidR="005873EC" w:rsidTr="00E96CF5">
        <w:tblPrEx>
          <w:tblCellMar>
            <w:top w:w="0" w:type="dxa"/>
            <w:bottom w:w="0" w:type="dxa"/>
          </w:tblCellMar>
        </w:tblPrEx>
        <w:trPr>
          <w:trHeight w:val="144"/>
        </w:trPr>
        <w:tc>
          <w:tcPr>
            <w:tcW w:w="873" w:type="dxa"/>
          </w:tcPr>
          <w:p w:rsidR="005873EC" w:rsidRDefault="005873EC" w:rsidP="00A32AE1">
            <w:pPr>
              <w:widowControl w:val="0"/>
              <w:ind w:left="225"/>
              <w:rPr>
                <w:rFonts w:ascii="Times New Roman" w:hAnsi="Times New Roman"/>
                <w:i/>
                <w:color w:val="000000"/>
                <w:szCs w:val="24"/>
              </w:rPr>
            </w:pPr>
            <w:r w:rsidRPr="00556FD5">
              <w:rPr>
                <w:rFonts w:ascii="Times New Roman" w:hAnsi="Times New Roman"/>
                <w:color w:val="000000"/>
                <w:szCs w:val="24"/>
              </w:rPr>
              <w:t>K</w:t>
            </w:r>
          </w:p>
        </w:tc>
        <w:tc>
          <w:tcPr>
            <w:tcW w:w="288" w:type="dxa"/>
          </w:tcPr>
          <w:p w:rsidR="005873EC" w:rsidRPr="00556FD5" w:rsidRDefault="005873EC" w:rsidP="00A32AE1">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515" w:type="dxa"/>
          </w:tcPr>
          <w:p w:rsidR="005873EC" w:rsidRPr="00967AFD" w:rsidRDefault="005873EC" w:rsidP="00A32AE1">
            <w:r w:rsidRPr="00967AFD">
              <w:t xml:space="preserve">Power of </w:t>
            </w:r>
            <w:r w:rsidR="000E2FA0">
              <w:t>10</w:t>
            </w:r>
            <w:r w:rsidRPr="00967AFD">
              <w:t xml:space="preserve"> multiplier, to keep the value of </w:t>
            </w:r>
            <w:r>
              <w:t>R</w:t>
            </w:r>
            <w:r w:rsidRPr="003922EF">
              <w:rPr>
                <w:vertAlign w:val="subscript"/>
              </w:rPr>
              <w:t>ref</w:t>
            </w:r>
            <w:r w:rsidRPr="00967AFD">
              <w:t xml:space="preserve"> between 1 and 100. The appropriate K value will depend on the selected units of measure for the sample flow rate.</w:t>
            </w:r>
          </w:p>
        </w:tc>
      </w:tr>
    </w:tbl>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ind w:left="360"/>
        <w:rPr>
          <w:rFonts w:ascii="Times New Roman" w:hAnsi="Times New Roman"/>
          <w:color w:val="000000"/>
          <w:szCs w:val="24"/>
        </w:rPr>
      </w:pPr>
      <w:r w:rsidRPr="00556FD5">
        <w:rPr>
          <w:rFonts w:ascii="Times New Roman" w:hAnsi="Times New Roman"/>
          <w:color w:val="000000"/>
          <w:szCs w:val="24"/>
        </w:rPr>
        <w:t>Then, for each subsequent hour of the data collection period, calculate ratio of the stack gas flow rate to the sample flow rate using the equation K-2:</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E96CF5">
      <w:pPr>
        <w:widowControl w:val="0"/>
        <w:ind w:left="4077" w:firstLine="18"/>
        <w:rPr>
          <w:rFonts w:ascii="Times New Roman" w:hAnsi="Times New Roman"/>
          <w:color w:val="000000"/>
          <w:szCs w:val="24"/>
        </w:rPr>
      </w:pPr>
      <w:r w:rsidRPr="00556FD5">
        <w:rPr>
          <w:rFonts w:ascii="Times New Roman" w:hAnsi="Times New Roman"/>
          <w:color w:val="000000"/>
          <w:position w:val="-30"/>
          <w:szCs w:val="24"/>
        </w:rPr>
        <w:object w:dxaOrig="1080" w:dyaOrig="700">
          <v:shape id="_x0000_i1026" type="#_x0000_t75" style="width:54pt;height:35.25pt" o:ole="">
            <v:imagedata r:id="rId43" o:title=""/>
          </v:shape>
          <o:OLEObject Type="Embed" ProgID="Equation.3" ShapeID="_x0000_i1026" DrawAspect="Content" ObjectID="_1401800608" r:id="rId44"/>
        </w:object>
      </w:r>
      <w:r>
        <w:rPr>
          <w:rFonts w:ascii="Times New Roman" w:hAnsi="Times New Roman"/>
          <w:color w:val="000000"/>
          <w:szCs w:val="24"/>
        </w:rPr>
        <w:tab/>
      </w:r>
      <w:r>
        <w:rPr>
          <w:rFonts w:ascii="Times New Roman" w:hAnsi="Times New Roman"/>
          <w:color w:val="000000"/>
          <w:szCs w:val="24"/>
        </w:rPr>
        <w:tab/>
      </w:r>
      <w:r w:rsidR="000E2FA0">
        <w:rPr>
          <w:rFonts w:ascii="Times New Roman" w:hAnsi="Times New Roman"/>
          <w:color w:val="000000"/>
          <w:szCs w:val="24"/>
        </w:rPr>
        <w:tab/>
      </w:r>
      <w:r w:rsidRPr="00556FD5">
        <w:rPr>
          <w:rFonts w:ascii="Times New Roman" w:hAnsi="Times New Roman"/>
          <w:color w:val="000000"/>
          <w:szCs w:val="24"/>
        </w:rPr>
        <w:t>(Eq</w:t>
      </w:r>
      <w:r w:rsidR="000E2FA0">
        <w:rPr>
          <w:rFonts w:ascii="Times New Roman" w:hAnsi="Times New Roman"/>
          <w:color w:val="000000"/>
          <w:szCs w:val="24"/>
        </w:rPr>
        <w:t>.</w:t>
      </w:r>
      <w:r w:rsidRPr="00556FD5">
        <w:rPr>
          <w:rFonts w:ascii="Times New Roman" w:hAnsi="Times New Roman"/>
          <w:color w:val="000000"/>
          <w:szCs w:val="24"/>
        </w:rPr>
        <w:t xml:space="preserve"> K-2)</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0" w:type="auto"/>
        <w:tblInd w:w="1026" w:type="dxa"/>
        <w:tblLook w:val="0000" w:firstRow="0" w:lastRow="0" w:firstColumn="0" w:lastColumn="0" w:noHBand="0" w:noVBand="0"/>
      </w:tblPr>
      <w:tblGrid>
        <w:gridCol w:w="477"/>
        <w:gridCol w:w="307"/>
        <w:gridCol w:w="7766"/>
      </w:tblGrid>
      <w:tr w:rsidR="005873EC" w:rsidTr="00E96CF5">
        <w:tblPrEx>
          <w:tblCellMar>
            <w:top w:w="0" w:type="dxa"/>
            <w:bottom w:w="0" w:type="dxa"/>
          </w:tblCellMar>
        </w:tblPrEx>
        <w:trPr>
          <w:trHeight w:val="369"/>
        </w:trPr>
        <w:tc>
          <w:tcPr>
            <w:tcW w:w="477"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R</w:t>
            </w:r>
            <w:r w:rsidRPr="003922EF">
              <w:rPr>
                <w:rFonts w:ascii="Times New Roman" w:hAnsi="Times New Roman"/>
                <w:color w:val="000000"/>
                <w:szCs w:val="24"/>
                <w:vertAlign w:val="subscript"/>
              </w:rPr>
              <w:t>h</w:t>
            </w:r>
          </w:p>
        </w:tc>
        <w:tc>
          <w:tcPr>
            <w:tcW w:w="307" w:type="dxa"/>
          </w:tcPr>
          <w:p w:rsidR="005873EC" w:rsidRDefault="005873EC" w:rsidP="00A32AE1">
            <w:pPr>
              <w:widowControl w:val="0"/>
              <w:ind w:left="-45"/>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Ratio of hourly stack gas flow rate to hourly sample flow rate</w:t>
            </w:r>
            <w:r w:rsidR="000E2FA0">
              <w:rPr>
                <w:rFonts w:ascii="Times New Roman" w:hAnsi="Times New Roman"/>
                <w:color w:val="000000"/>
                <w:szCs w:val="24"/>
              </w:rPr>
              <w:t>.</w:t>
            </w:r>
          </w:p>
        </w:tc>
      </w:tr>
      <w:tr w:rsidR="005873EC" w:rsidTr="00A32AE1">
        <w:tblPrEx>
          <w:tblCellMar>
            <w:top w:w="0" w:type="dxa"/>
            <w:bottom w:w="0" w:type="dxa"/>
          </w:tblCellMar>
        </w:tblPrEx>
        <w:trPr>
          <w:trHeight w:val="387"/>
        </w:trPr>
        <w:tc>
          <w:tcPr>
            <w:tcW w:w="477"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Q</w:t>
            </w:r>
            <w:r w:rsidRPr="003922EF">
              <w:rPr>
                <w:rFonts w:ascii="Times New Roman" w:hAnsi="Times New Roman"/>
                <w:color w:val="000000"/>
                <w:szCs w:val="24"/>
                <w:vertAlign w:val="subscript"/>
              </w:rPr>
              <w:t>h</w:t>
            </w:r>
          </w:p>
        </w:tc>
        <w:tc>
          <w:tcPr>
            <w:tcW w:w="307" w:type="dxa"/>
          </w:tcPr>
          <w:p w:rsidR="005873EC" w:rsidRDefault="005873EC" w:rsidP="00A32AE1">
            <w:pPr>
              <w:widowControl w:val="0"/>
              <w:ind w:left="-45"/>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Average stack gas volumetric flow rate for the hour</w:t>
            </w:r>
            <w:r w:rsidR="000E2FA0">
              <w:rPr>
                <w:rFonts w:ascii="Times New Roman" w:hAnsi="Times New Roman"/>
                <w:color w:val="000000"/>
                <w:szCs w:val="24"/>
              </w:rPr>
              <w:t>.</w:t>
            </w:r>
          </w:p>
        </w:tc>
      </w:tr>
      <w:tr w:rsidR="005873EC" w:rsidTr="00A32AE1">
        <w:tblPrEx>
          <w:tblCellMar>
            <w:top w:w="0" w:type="dxa"/>
            <w:bottom w:w="0" w:type="dxa"/>
          </w:tblCellMar>
        </w:tblPrEx>
        <w:trPr>
          <w:trHeight w:val="648"/>
        </w:trPr>
        <w:tc>
          <w:tcPr>
            <w:tcW w:w="477"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F</w:t>
            </w:r>
            <w:r w:rsidRPr="003922EF">
              <w:rPr>
                <w:rFonts w:ascii="Times New Roman" w:hAnsi="Times New Roman"/>
                <w:color w:val="000000"/>
                <w:szCs w:val="24"/>
                <w:vertAlign w:val="subscript"/>
              </w:rPr>
              <w:t>h</w:t>
            </w:r>
          </w:p>
        </w:tc>
        <w:tc>
          <w:tcPr>
            <w:tcW w:w="307" w:type="dxa"/>
          </w:tcPr>
          <w:p w:rsidR="005873EC" w:rsidRDefault="005873EC" w:rsidP="00A32AE1">
            <w:pPr>
              <w:widowControl w:val="0"/>
              <w:ind w:left="-45"/>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Average sample flow rate for the hour, in appropriate units (e.g., liters/min, cc/min, dscm/min)</w:t>
            </w:r>
            <w:r w:rsidR="000E2FA0">
              <w:rPr>
                <w:rFonts w:ascii="Times New Roman" w:hAnsi="Times New Roman"/>
                <w:color w:val="000000"/>
                <w:szCs w:val="24"/>
              </w:rPr>
              <w:t>.</w:t>
            </w:r>
          </w:p>
        </w:tc>
      </w:tr>
      <w:tr w:rsidR="005873EC" w:rsidTr="00A32AE1">
        <w:tblPrEx>
          <w:tblCellMar>
            <w:top w:w="0" w:type="dxa"/>
            <w:bottom w:w="0" w:type="dxa"/>
          </w:tblCellMar>
        </w:tblPrEx>
        <w:trPr>
          <w:trHeight w:val="144"/>
        </w:trPr>
        <w:tc>
          <w:tcPr>
            <w:tcW w:w="477" w:type="dxa"/>
          </w:tcPr>
          <w:p w:rsidR="005873EC" w:rsidRPr="00967AFD" w:rsidRDefault="005873EC" w:rsidP="00A32AE1">
            <w:pPr>
              <w:widowControl w:val="0"/>
              <w:rPr>
                <w:rFonts w:ascii="Times New Roman" w:hAnsi="Times New Roman"/>
                <w:color w:val="000000"/>
                <w:szCs w:val="24"/>
              </w:rPr>
            </w:pPr>
            <w:r w:rsidRPr="00967AFD">
              <w:rPr>
                <w:rFonts w:ascii="Times New Roman" w:hAnsi="Times New Roman"/>
                <w:color w:val="000000"/>
                <w:szCs w:val="24"/>
              </w:rPr>
              <w:t>K</w:t>
            </w:r>
          </w:p>
        </w:tc>
        <w:tc>
          <w:tcPr>
            <w:tcW w:w="307" w:type="dxa"/>
          </w:tcPr>
          <w:p w:rsidR="005873EC" w:rsidRPr="00556FD5" w:rsidRDefault="005873EC" w:rsidP="00A32AE1">
            <w:pPr>
              <w:widowControl w:val="0"/>
              <w:ind w:left="-45"/>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Pr="00967AFD" w:rsidRDefault="005873EC" w:rsidP="00A32AE1">
            <w:r w:rsidRPr="00967AFD">
              <w:t xml:space="preserve">Power of </w:t>
            </w:r>
            <w:r w:rsidR="000E2FA0">
              <w:t>10</w:t>
            </w:r>
            <w:r w:rsidRPr="00967AFD">
              <w:t xml:space="preserve"> multiplier, to keep the value of </w:t>
            </w:r>
            <w:r>
              <w:t>R</w:t>
            </w:r>
            <w:r w:rsidRPr="003922EF">
              <w:rPr>
                <w:vertAlign w:val="subscript"/>
              </w:rPr>
              <w:t>h</w:t>
            </w:r>
            <w:r w:rsidRPr="00967AFD">
              <w:t xml:space="preserve"> between 1 and 100. The appropriate K value will depend on the selected units of measure for the sample flow rate and the range of expected stack gas flow rates.</w:t>
            </w:r>
          </w:p>
        </w:tc>
      </w:tr>
    </w:tbl>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ind w:left="360"/>
        <w:rPr>
          <w:rFonts w:ascii="Times New Roman" w:hAnsi="Times New Roman"/>
          <w:color w:val="000000"/>
          <w:szCs w:val="24"/>
        </w:rPr>
      </w:pPr>
      <w:r w:rsidRPr="00556FD5">
        <w:rPr>
          <w:rFonts w:ascii="Times New Roman" w:hAnsi="Times New Roman"/>
          <w:color w:val="000000"/>
          <w:szCs w:val="24"/>
        </w:rPr>
        <w:t xml:space="preserve">Maintain the value of </w:t>
      </w:r>
      <w:r>
        <w:rPr>
          <w:rFonts w:ascii="Times New Roman" w:hAnsi="Times New Roman"/>
          <w:color w:val="000000"/>
          <w:szCs w:val="24"/>
        </w:rPr>
        <w:t>R</w:t>
      </w:r>
      <w:r w:rsidRPr="003922EF">
        <w:rPr>
          <w:rFonts w:ascii="Times New Roman" w:hAnsi="Times New Roman"/>
          <w:color w:val="000000"/>
          <w:szCs w:val="24"/>
          <w:vertAlign w:val="subscript"/>
        </w:rPr>
        <w:t>h</w:t>
      </w:r>
      <w:r w:rsidRPr="00556FD5">
        <w:rPr>
          <w:rFonts w:ascii="Times New Roman" w:hAnsi="Times New Roman"/>
          <w:color w:val="000000"/>
          <w:szCs w:val="24"/>
        </w:rPr>
        <w:t xml:space="preserve"> within </w:t>
      </w:r>
      <w:r>
        <w:rPr>
          <w:rFonts w:ascii="Times New Roman" w:hAnsi="Times New Roman"/>
          <w:color w:val="000000"/>
          <w:szCs w:val="24"/>
        </w:rPr>
        <w:t>±</w:t>
      </w:r>
      <w:r w:rsidRPr="00556FD5">
        <w:rPr>
          <w:rFonts w:ascii="Times New Roman" w:hAnsi="Times New Roman"/>
          <w:color w:val="000000"/>
          <w:szCs w:val="24"/>
        </w:rPr>
        <w:t xml:space="preserve"> 25 percent of </w:t>
      </w:r>
      <w:r>
        <w:rPr>
          <w:rFonts w:ascii="Times New Roman" w:hAnsi="Times New Roman"/>
          <w:color w:val="000000"/>
          <w:szCs w:val="24"/>
        </w:rPr>
        <w:t>R</w:t>
      </w:r>
      <w:r w:rsidRPr="003922EF">
        <w:rPr>
          <w:rFonts w:ascii="Times New Roman" w:hAnsi="Times New Roman"/>
          <w:color w:val="000000"/>
          <w:szCs w:val="24"/>
          <w:vertAlign w:val="subscript"/>
        </w:rPr>
        <w:t>ref</w:t>
      </w:r>
      <w:r w:rsidRPr="00556FD5">
        <w:rPr>
          <w:rFonts w:ascii="Times New Roman" w:hAnsi="Times New Roman"/>
          <w:color w:val="000000"/>
          <w:szCs w:val="24"/>
        </w:rPr>
        <w:t xml:space="preserve"> throughout the data collection period.</w:t>
      </w:r>
    </w:p>
    <w:p w:rsidR="005873EC" w:rsidRPr="00556FD5" w:rsidRDefault="005873EC" w:rsidP="005873EC">
      <w:pPr>
        <w:widowControl w:val="0"/>
        <w:rPr>
          <w:rFonts w:ascii="Times New Roman" w:hAnsi="Times New Roman"/>
          <w:color w:val="000000"/>
          <w:szCs w:val="24"/>
        </w:rPr>
      </w:pPr>
      <w:bookmarkStart w:id="33" w:name="Document1zzSDUNumber1161"/>
      <w:bookmarkStart w:id="34" w:name="Document1zzSDUNumber1162"/>
      <w:bookmarkEnd w:id="33"/>
      <w:bookmarkEnd w:id="34"/>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11.3 Calculation of Spike Recovery</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 xml:space="preserve">Calculate the percent recovery of each </w:t>
      </w:r>
      <w:hyperlink r:id="rId45" w:history="1">
        <w:r w:rsidRPr="00556FD5">
          <w:rPr>
            <w:szCs w:val="24"/>
            <w:u w:val="none"/>
          </w:rPr>
          <w:t>section 3</w:t>
        </w:r>
      </w:hyperlink>
      <w:r w:rsidRPr="00556FD5">
        <w:rPr>
          <w:szCs w:val="24"/>
          <w:u w:val="none"/>
        </w:rPr>
        <w:t xml:space="preserve"> spike, as follows:</w:t>
      </w:r>
    </w:p>
    <w:p w:rsidR="005873EC" w:rsidRPr="00556FD5" w:rsidRDefault="005873EC" w:rsidP="005873EC">
      <w:pPr>
        <w:widowControl w:val="0"/>
        <w:rPr>
          <w:rFonts w:ascii="Times New Roman" w:hAnsi="Times New Roman"/>
          <w:color w:val="000000"/>
          <w:szCs w:val="24"/>
        </w:rPr>
      </w:pPr>
    </w:p>
    <w:p w:rsidR="005873EC" w:rsidRPr="00556FD5" w:rsidRDefault="005873EC" w:rsidP="000E2FA0">
      <w:pPr>
        <w:widowControl w:val="0"/>
        <w:ind w:left="3348" w:firstLine="252"/>
        <w:rPr>
          <w:rFonts w:ascii="Times New Roman" w:hAnsi="Times New Roman"/>
          <w:color w:val="000000"/>
          <w:szCs w:val="24"/>
        </w:rPr>
      </w:pPr>
      <w:r w:rsidRPr="00556FD5">
        <w:rPr>
          <w:rFonts w:ascii="Times New Roman" w:hAnsi="Times New Roman"/>
          <w:color w:val="000000"/>
          <w:position w:val="-30"/>
          <w:szCs w:val="24"/>
        </w:rPr>
        <w:object w:dxaOrig="1600" w:dyaOrig="700">
          <v:shape id="_x0000_i1027" type="#_x0000_t75" style="width:80.25pt;height:35.25pt" o:ole="">
            <v:imagedata r:id="rId46" o:title=""/>
          </v:shape>
          <o:OLEObject Type="Embed" ProgID="Equation.3" ShapeID="_x0000_i1027" DrawAspect="Content" ObjectID="_1401800609" r:id="rId47"/>
        </w:object>
      </w:r>
      <w:r>
        <w:rPr>
          <w:rFonts w:ascii="Times New Roman" w:hAnsi="Times New Roman"/>
          <w:color w:val="000000"/>
          <w:szCs w:val="24"/>
        </w:rPr>
        <w:tab/>
      </w:r>
      <w:r>
        <w:rPr>
          <w:rFonts w:ascii="Times New Roman" w:hAnsi="Times New Roman"/>
          <w:color w:val="000000"/>
          <w:szCs w:val="24"/>
        </w:rPr>
        <w:tab/>
      </w:r>
      <w:r w:rsidR="000E2FA0">
        <w:rPr>
          <w:rFonts w:ascii="Times New Roman" w:hAnsi="Times New Roman"/>
          <w:color w:val="000000"/>
          <w:szCs w:val="24"/>
        </w:rPr>
        <w:tab/>
      </w:r>
      <w:r w:rsidRPr="00556FD5">
        <w:rPr>
          <w:rFonts w:ascii="Times New Roman" w:hAnsi="Times New Roman"/>
          <w:color w:val="000000"/>
          <w:szCs w:val="24"/>
        </w:rPr>
        <w:t>(Eq</w:t>
      </w:r>
      <w:r w:rsidR="000E2FA0">
        <w:rPr>
          <w:rFonts w:ascii="Times New Roman" w:hAnsi="Times New Roman"/>
          <w:color w:val="000000"/>
          <w:szCs w:val="24"/>
        </w:rPr>
        <w:t>.</w:t>
      </w:r>
      <w:r w:rsidRPr="00556FD5">
        <w:rPr>
          <w:rFonts w:ascii="Times New Roman" w:hAnsi="Times New Roman"/>
          <w:color w:val="000000"/>
          <w:szCs w:val="24"/>
        </w:rPr>
        <w:t xml:space="preserve"> K-3)</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0" w:type="auto"/>
        <w:tblInd w:w="990" w:type="dxa"/>
        <w:tblLook w:val="0000" w:firstRow="0" w:lastRow="0" w:firstColumn="0" w:lastColumn="0" w:noHBand="0" w:noVBand="0"/>
      </w:tblPr>
      <w:tblGrid>
        <w:gridCol w:w="576"/>
        <w:gridCol w:w="289"/>
        <w:gridCol w:w="6920"/>
      </w:tblGrid>
      <w:tr w:rsidR="005873EC" w:rsidTr="00A32AE1">
        <w:tblPrEx>
          <w:tblCellMar>
            <w:top w:w="0" w:type="dxa"/>
            <w:bottom w:w="0" w:type="dxa"/>
          </w:tblCellMar>
        </w:tblPrEx>
        <w:trPr>
          <w:trHeight w:val="360"/>
        </w:trPr>
        <w:tc>
          <w:tcPr>
            <w:tcW w:w="576"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%R</w:t>
            </w:r>
          </w:p>
        </w:tc>
        <w:tc>
          <w:tcPr>
            <w:tcW w:w="289" w:type="dxa"/>
          </w:tcPr>
          <w:p w:rsidR="005873EC" w:rsidRDefault="005873EC" w:rsidP="00A32AE1">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920"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Percentage recovery of the pre-sampling spike</w:t>
            </w:r>
            <w:r w:rsidR="000E2FA0">
              <w:rPr>
                <w:rFonts w:ascii="Times New Roman" w:hAnsi="Times New Roman"/>
                <w:color w:val="000000"/>
                <w:szCs w:val="24"/>
              </w:rPr>
              <w:t>.</w:t>
            </w:r>
          </w:p>
        </w:tc>
      </w:tr>
      <w:tr w:rsidR="005873EC" w:rsidTr="00A32AE1">
        <w:tblPrEx>
          <w:tblCellMar>
            <w:top w:w="0" w:type="dxa"/>
            <w:bottom w:w="0" w:type="dxa"/>
          </w:tblCellMar>
        </w:tblPrEx>
        <w:trPr>
          <w:trHeight w:val="342"/>
        </w:trPr>
        <w:tc>
          <w:tcPr>
            <w:tcW w:w="576"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M</w:t>
            </w:r>
            <w:r w:rsidRPr="003922EF">
              <w:rPr>
                <w:rFonts w:ascii="Times New Roman" w:hAnsi="Times New Roman"/>
                <w:color w:val="000000"/>
                <w:szCs w:val="24"/>
                <w:vertAlign w:val="subscript"/>
              </w:rPr>
              <w:t>3</w:t>
            </w:r>
          </w:p>
        </w:tc>
        <w:tc>
          <w:tcPr>
            <w:tcW w:w="289" w:type="dxa"/>
          </w:tcPr>
          <w:p w:rsidR="005873EC" w:rsidRDefault="005873EC" w:rsidP="00A32AE1">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920"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Mass of mercury recovered from section 3 of the sorbent trap (µg)</w:t>
            </w:r>
            <w:r w:rsidR="000E2FA0">
              <w:rPr>
                <w:rFonts w:ascii="Times New Roman" w:hAnsi="Times New Roman"/>
                <w:color w:val="000000"/>
                <w:szCs w:val="24"/>
              </w:rPr>
              <w:t>.</w:t>
            </w:r>
          </w:p>
        </w:tc>
      </w:tr>
      <w:tr w:rsidR="005873EC" w:rsidTr="00A32AE1">
        <w:tblPrEx>
          <w:tblCellMar>
            <w:top w:w="0" w:type="dxa"/>
            <w:bottom w:w="0" w:type="dxa"/>
          </w:tblCellMar>
        </w:tblPrEx>
        <w:trPr>
          <w:trHeight w:val="144"/>
        </w:trPr>
        <w:tc>
          <w:tcPr>
            <w:tcW w:w="576" w:type="dxa"/>
          </w:tcPr>
          <w:p w:rsidR="005873EC" w:rsidRPr="003922EF" w:rsidRDefault="00D03DDA" w:rsidP="00A32AE1">
            <w:pPr>
              <w:widowControl w:val="0"/>
              <w:rPr>
                <w:rFonts w:ascii="Times New Roman" w:hAnsi="Times New Roman"/>
                <w:color w:val="000000"/>
                <w:szCs w:val="24"/>
              </w:rPr>
            </w:pPr>
            <w:r w:rsidRPr="00FC472C">
              <w:rPr>
                <w:szCs w:val="24"/>
                <w:u w:val="single"/>
              </w:rPr>
              <w:t>M</w:t>
            </w:r>
            <w:r w:rsidRPr="00FC472C">
              <w:rPr>
                <w:szCs w:val="24"/>
                <w:u w:val="single"/>
                <w:vertAlign w:val="subscript"/>
              </w:rPr>
              <w:t>s</w:t>
            </w:r>
          </w:p>
        </w:tc>
        <w:tc>
          <w:tcPr>
            <w:tcW w:w="289" w:type="dxa"/>
          </w:tcPr>
          <w:p w:rsidR="005873EC" w:rsidRPr="00556FD5" w:rsidRDefault="005873EC" w:rsidP="00A32AE1">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920" w:type="dxa"/>
          </w:tcPr>
          <w:p w:rsidR="005873EC" w:rsidRPr="003B7A8C" w:rsidRDefault="00D03DDA" w:rsidP="00A32AE1">
            <w:pPr>
              <w:widowControl w:val="0"/>
              <w:rPr>
                <w:rFonts w:ascii="Times New Roman" w:hAnsi="Times New Roman"/>
                <w:color w:val="000000"/>
                <w:szCs w:val="24"/>
              </w:rPr>
            </w:pPr>
            <w:r w:rsidRPr="003B7A8C">
              <w:rPr>
                <w:szCs w:val="24"/>
              </w:rPr>
              <w:t>Calculated mercury mass of the pre-sampling strike from Section 7.1.2 of this Exhibit.</w:t>
            </w:r>
          </w:p>
        </w:tc>
      </w:tr>
    </w:tbl>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1.4 Calculation of Breakthrough</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Calculate the percent breakthrough to the second section of the sorbent trap, as follows:</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Pr="00556FD5" w:rsidRDefault="005873EC" w:rsidP="005873EC">
      <w:pPr>
        <w:widowControl w:val="0"/>
        <w:rPr>
          <w:rFonts w:ascii="Times New Roman" w:hAnsi="Times New Roman"/>
          <w:color w:val="000000"/>
          <w:szCs w:val="24"/>
        </w:rPr>
      </w:pPr>
    </w:p>
    <w:p w:rsidR="005873EC" w:rsidRPr="00556FD5" w:rsidRDefault="005873EC" w:rsidP="000E2FA0">
      <w:pPr>
        <w:widowControl w:val="0"/>
        <w:ind w:left="3348" w:firstLine="252"/>
        <w:rPr>
          <w:rFonts w:ascii="Times New Roman" w:hAnsi="Times New Roman"/>
          <w:color w:val="000000"/>
          <w:szCs w:val="24"/>
        </w:rPr>
      </w:pPr>
      <w:r w:rsidRPr="00556FD5">
        <w:rPr>
          <w:rFonts w:ascii="Times New Roman" w:hAnsi="Times New Roman"/>
          <w:color w:val="000000"/>
          <w:position w:val="-30"/>
          <w:szCs w:val="24"/>
        </w:rPr>
        <w:object w:dxaOrig="1620" w:dyaOrig="700">
          <v:shape id="_x0000_i1028" type="#_x0000_t75" style="width:81pt;height:35.25pt" o:ole="">
            <v:imagedata r:id="rId48" o:title=""/>
          </v:shape>
          <o:OLEObject Type="Embed" ProgID="Equation.3" ShapeID="_x0000_i1028" DrawAspect="Content" ObjectID="_1401800610" r:id="rId49"/>
        </w:object>
      </w:r>
      <w:r>
        <w:rPr>
          <w:rFonts w:ascii="Times New Roman" w:hAnsi="Times New Roman"/>
          <w:color w:val="000000"/>
          <w:szCs w:val="24"/>
        </w:rPr>
        <w:tab/>
      </w:r>
      <w:r>
        <w:rPr>
          <w:rFonts w:ascii="Times New Roman" w:hAnsi="Times New Roman"/>
          <w:color w:val="000000"/>
          <w:szCs w:val="24"/>
        </w:rPr>
        <w:tab/>
      </w:r>
      <w:r w:rsidR="000E2FA0">
        <w:rPr>
          <w:rFonts w:ascii="Times New Roman" w:hAnsi="Times New Roman"/>
          <w:color w:val="000000"/>
          <w:szCs w:val="24"/>
        </w:rPr>
        <w:tab/>
      </w:r>
      <w:r w:rsidRPr="00556FD5">
        <w:rPr>
          <w:rFonts w:ascii="Times New Roman" w:hAnsi="Times New Roman"/>
          <w:color w:val="000000"/>
          <w:szCs w:val="24"/>
        </w:rPr>
        <w:t>(Eq</w:t>
      </w:r>
      <w:r w:rsidR="000E2FA0">
        <w:rPr>
          <w:rFonts w:ascii="Times New Roman" w:hAnsi="Times New Roman"/>
          <w:color w:val="000000"/>
          <w:szCs w:val="24"/>
        </w:rPr>
        <w:t>.</w:t>
      </w:r>
      <w:r w:rsidRPr="00556FD5">
        <w:rPr>
          <w:rFonts w:ascii="Times New Roman" w:hAnsi="Times New Roman"/>
          <w:color w:val="000000"/>
          <w:szCs w:val="24"/>
        </w:rPr>
        <w:t xml:space="preserve"> K-4)</w:t>
      </w:r>
    </w:p>
    <w:p w:rsidR="005873EC" w:rsidRPr="00556FD5" w:rsidRDefault="005873EC" w:rsidP="005873EC">
      <w:pPr>
        <w:widowControl w:val="0"/>
        <w:ind w:left="36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0" w:type="auto"/>
        <w:tblInd w:w="1026" w:type="dxa"/>
        <w:tblLook w:val="0000" w:firstRow="0" w:lastRow="0" w:firstColumn="0" w:lastColumn="0" w:noHBand="0" w:noVBand="0"/>
      </w:tblPr>
      <w:tblGrid>
        <w:gridCol w:w="630"/>
        <w:gridCol w:w="279"/>
        <w:gridCol w:w="7641"/>
      </w:tblGrid>
      <w:tr w:rsidR="005873EC" w:rsidTr="00A32AE1">
        <w:tblPrEx>
          <w:tblCellMar>
            <w:top w:w="0" w:type="dxa"/>
            <w:bottom w:w="0" w:type="dxa"/>
          </w:tblCellMar>
        </w:tblPrEx>
        <w:trPr>
          <w:trHeight w:val="351"/>
        </w:trPr>
        <w:tc>
          <w:tcPr>
            <w:tcW w:w="63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%B</w:t>
            </w:r>
          </w:p>
        </w:tc>
        <w:tc>
          <w:tcPr>
            <w:tcW w:w="279" w:type="dxa"/>
          </w:tcPr>
          <w:p w:rsidR="005873EC" w:rsidRDefault="005873EC" w:rsidP="00A32AE1">
            <w:pPr>
              <w:widowControl w:val="0"/>
              <w:ind w:left="-81"/>
              <w:rPr>
                <w:rFonts w:ascii="Times New Roman" w:hAnsi="Times New Roman"/>
                <w:color w:val="000000"/>
                <w:szCs w:val="24"/>
              </w:rPr>
            </w:pPr>
            <w:r w:rsidRPr="00556FD5">
              <w:rPr>
                <w:rFonts w:ascii="Times New Roman" w:hAnsi="Times New Roman"/>
                <w:color w:val="000000"/>
                <w:szCs w:val="24"/>
              </w:rPr>
              <w:t>=</w:t>
            </w:r>
          </w:p>
        </w:tc>
        <w:tc>
          <w:tcPr>
            <w:tcW w:w="7641"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Percent breakthrough</w:t>
            </w:r>
            <w:r w:rsidR="00D61335">
              <w:rPr>
                <w:rFonts w:ascii="Times New Roman" w:hAnsi="Times New Roman"/>
                <w:color w:val="000000"/>
                <w:szCs w:val="24"/>
              </w:rPr>
              <w:t>.</w:t>
            </w:r>
          </w:p>
        </w:tc>
      </w:tr>
      <w:tr w:rsidR="005873EC" w:rsidTr="00A32AE1">
        <w:tblPrEx>
          <w:tblCellMar>
            <w:top w:w="0" w:type="dxa"/>
            <w:bottom w:w="0" w:type="dxa"/>
          </w:tblCellMar>
        </w:tblPrEx>
        <w:trPr>
          <w:trHeight w:val="369"/>
        </w:trPr>
        <w:tc>
          <w:tcPr>
            <w:tcW w:w="63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M</w:t>
            </w:r>
            <w:r w:rsidRPr="003922EF">
              <w:rPr>
                <w:rFonts w:ascii="Times New Roman" w:hAnsi="Times New Roman"/>
                <w:color w:val="000000"/>
                <w:szCs w:val="24"/>
                <w:vertAlign w:val="subscript"/>
              </w:rPr>
              <w:t>2</w:t>
            </w:r>
          </w:p>
        </w:tc>
        <w:tc>
          <w:tcPr>
            <w:tcW w:w="279" w:type="dxa"/>
          </w:tcPr>
          <w:p w:rsidR="005873EC" w:rsidRDefault="005873EC" w:rsidP="00A32AE1">
            <w:pPr>
              <w:widowControl w:val="0"/>
              <w:ind w:left="-81"/>
              <w:rPr>
                <w:rFonts w:ascii="Times New Roman" w:hAnsi="Times New Roman"/>
                <w:color w:val="000000"/>
                <w:szCs w:val="24"/>
              </w:rPr>
            </w:pPr>
            <w:r w:rsidRPr="00556FD5">
              <w:rPr>
                <w:rFonts w:ascii="Times New Roman" w:hAnsi="Times New Roman"/>
                <w:color w:val="000000"/>
                <w:szCs w:val="24"/>
              </w:rPr>
              <w:t>=</w:t>
            </w:r>
          </w:p>
        </w:tc>
        <w:tc>
          <w:tcPr>
            <w:tcW w:w="7641"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Mass of mercury recovered from section 2 of the sorbent trap (µg)</w:t>
            </w:r>
            <w:r w:rsidR="00D61335">
              <w:rPr>
                <w:rFonts w:ascii="Times New Roman" w:hAnsi="Times New Roman"/>
                <w:color w:val="000000"/>
                <w:szCs w:val="24"/>
              </w:rPr>
              <w:t>.</w:t>
            </w:r>
          </w:p>
        </w:tc>
      </w:tr>
      <w:tr w:rsidR="005873EC" w:rsidTr="00A32AE1">
        <w:tblPrEx>
          <w:tblCellMar>
            <w:top w:w="0" w:type="dxa"/>
            <w:bottom w:w="0" w:type="dxa"/>
          </w:tblCellMar>
        </w:tblPrEx>
        <w:trPr>
          <w:trHeight w:val="144"/>
        </w:trPr>
        <w:tc>
          <w:tcPr>
            <w:tcW w:w="63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M</w:t>
            </w:r>
            <w:r w:rsidRPr="003922EF">
              <w:rPr>
                <w:rFonts w:ascii="Times New Roman" w:hAnsi="Times New Roman"/>
                <w:color w:val="000000"/>
                <w:szCs w:val="24"/>
                <w:vertAlign w:val="subscript"/>
              </w:rPr>
              <w:t>1</w:t>
            </w:r>
          </w:p>
        </w:tc>
        <w:tc>
          <w:tcPr>
            <w:tcW w:w="279" w:type="dxa"/>
          </w:tcPr>
          <w:p w:rsidR="005873EC" w:rsidRPr="00556FD5" w:rsidRDefault="005873EC" w:rsidP="00A32AE1">
            <w:pPr>
              <w:widowControl w:val="0"/>
              <w:ind w:left="-81"/>
              <w:rPr>
                <w:rFonts w:ascii="Times New Roman" w:hAnsi="Times New Roman"/>
                <w:color w:val="000000"/>
                <w:szCs w:val="24"/>
              </w:rPr>
            </w:pPr>
            <w:r w:rsidRPr="00556FD5">
              <w:rPr>
                <w:rFonts w:ascii="Times New Roman" w:hAnsi="Times New Roman"/>
                <w:color w:val="000000"/>
                <w:szCs w:val="24"/>
              </w:rPr>
              <w:t>=</w:t>
            </w:r>
          </w:p>
        </w:tc>
        <w:tc>
          <w:tcPr>
            <w:tcW w:w="7641" w:type="dxa"/>
          </w:tcPr>
          <w:p w:rsidR="005873EC" w:rsidRPr="00556FD5" w:rsidRDefault="005873EC" w:rsidP="00A32AE1">
            <w:pPr>
              <w:widowControl w:val="0"/>
              <w:rPr>
                <w:rFonts w:ascii="Times New Roman" w:hAnsi="Times New Roman"/>
                <w:color w:val="000000"/>
                <w:szCs w:val="24"/>
              </w:rPr>
            </w:pPr>
            <w:r w:rsidRPr="00556FD5">
              <w:rPr>
                <w:rFonts w:ascii="Times New Roman" w:hAnsi="Times New Roman"/>
                <w:color w:val="000000"/>
                <w:szCs w:val="24"/>
              </w:rPr>
              <w:t>Mass of mercury recovered from section 1 of the sorbent trap (µg)</w:t>
            </w:r>
            <w:r w:rsidR="00D61335">
              <w:rPr>
                <w:rFonts w:ascii="Times New Roman" w:hAnsi="Times New Roman"/>
                <w:color w:val="000000"/>
                <w:szCs w:val="24"/>
              </w:rPr>
              <w:t>.</w:t>
            </w:r>
          </w:p>
        </w:tc>
      </w:tr>
    </w:tbl>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bookmarkStart w:id="35" w:name="Document1zzSDUNumber1163"/>
      <w:bookmarkEnd w:id="35"/>
      <w:r w:rsidRPr="00556FD5">
        <w:rPr>
          <w:rFonts w:ascii="Times New Roman" w:hAnsi="Times New Roman"/>
          <w:color w:val="000000"/>
          <w:szCs w:val="24"/>
        </w:rPr>
        <w:t>11.5 Calculation of Mercury Concentration</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pStyle w:val="BodyText3"/>
        <w:rPr>
          <w:szCs w:val="24"/>
          <w:u w:val="none"/>
        </w:rPr>
      </w:pPr>
      <w:r w:rsidRPr="00556FD5">
        <w:rPr>
          <w:szCs w:val="24"/>
          <w:u w:val="none"/>
        </w:rPr>
        <w:t>Calculate the mercury concentration for each sorbent trap, using the following equation:</w:t>
      </w:r>
    </w:p>
    <w:p w:rsidR="005873EC" w:rsidRPr="00556FD5" w:rsidRDefault="005873EC" w:rsidP="005873EC">
      <w:pPr>
        <w:widowControl w:val="0"/>
        <w:rPr>
          <w:rFonts w:ascii="Times New Roman" w:hAnsi="Times New Roman"/>
          <w:color w:val="000000"/>
          <w:szCs w:val="24"/>
        </w:rPr>
      </w:pPr>
    </w:p>
    <w:p w:rsidR="005873EC" w:rsidRPr="00556FD5" w:rsidRDefault="005873EC" w:rsidP="00E96CF5">
      <w:pPr>
        <w:widowControl w:val="0"/>
        <w:ind w:left="3933" w:hanging="9"/>
        <w:rPr>
          <w:rFonts w:ascii="Times New Roman" w:hAnsi="Times New Roman"/>
          <w:color w:val="000000"/>
          <w:szCs w:val="24"/>
        </w:rPr>
      </w:pPr>
      <w:r w:rsidRPr="00556FD5">
        <w:rPr>
          <w:rFonts w:ascii="Times New Roman" w:hAnsi="Times New Roman"/>
          <w:color w:val="000000"/>
          <w:position w:val="-30"/>
          <w:szCs w:val="24"/>
        </w:rPr>
        <w:object w:dxaOrig="920" w:dyaOrig="680">
          <v:shape id="_x0000_i1029" type="#_x0000_t75" style="width:45.75pt;height:33.75pt" o:ole="">
            <v:imagedata r:id="rId50" o:title=""/>
          </v:shape>
          <o:OLEObject Type="Embed" ProgID="Equation.3" ShapeID="_x0000_i1029" DrawAspect="Content" ObjectID="_1401800611" r:id="rId51"/>
        </w:object>
      </w:r>
      <w:r>
        <w:rPr>
          <w:rFonts w:ascii="Times New Roman" w:hAnsi="Times New Roman"/>
          <w:color w:val="000000"/>
          <w:szCs w:val="24"/>
        </w:rPr>
        <w:tab/>
      </w:r>
      <w:r>
        <w:rPr>
          <w:rFonts w:ascii="Times New Roman" w:hAnsi="Times New Roman"/>
          <w:color w:val="000000"/>
          <w:szCs w:val="24"/>
        </w:rPr>
        <w:tab/>
      </w:r>
      <w:r w:rsidR="00E96CF5">
        <w:rPr>
          <w:rFonts w:ascii="Times New Roman" w:hAnsi="Times New Roman"/>
          <w:color w:val="000000"/>
          <w:szCs w:val="24"/>
        </w:rPr>
        <w:tab/>
      </w:r>
      <w:r w:rsidR="00D61335">
        <w:rPr>
          <w:rFonts w:ascii="Times New Roman" w:hAnsi="Times New Roman"/>
          <w:color w:val="000000"/>
          <w:szCs w:val="24"/>
        </w:rPr>
        <w:tab/>
      </w:r>
      <w:r w:rsidRPr="00556FD5">
        <w:rPr>
          <w:rFonts w:ascii="Times New Roman" w:hAnsi="Times New Roman"/>
          <w:color w:val="000000"/>
          <w:szCs w:val="24"/>
        </w:rPr>
        <w:t>(Eq</w:t>
      </w:r>
      <w:r w:rsidR="00D61335">
        <w:rPr>
          <w:rFonts w:ascii="Times New Roman" w:hAnsi="Times New Roman"/>
          <w:color w:val="000000"/>
          <w:szCs w:val="24"/>
        </w:rPr>
        <w:t>.</w:t>
      </w:r>
      <w:r w:rsidRPr="00556FD5">
        <w:rPr>
          <w:rFonts w:ascii="Times New Roman" w:hAnsi="Times New Roman"/>
          <w:color w:val="000000"/>
          <w:szCs w:val="24"/>
        </w:rPr>
        <w:t xml:space="preserve"> K-5)</w:t>
      </w:r>
    </w:p>
    <w:p w:rsidR="005873EC" w:rsidRPr="00556FD5" w:rsidRDefault="005873EC" w:rsidP="005873EC">
      <w:pPr>
        <w:widowControl w:val="0"/>
        <w:ind w:left="360" w:hanging="36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0" w:type="auto"/>
        <w:tblInd w:w="1008" w:type="dxa"/>
        <w:tblLook w:val="0000" w:firstRow="0" w:lastRow="0" w:firstColumn="0" w:lastColumn="0" w:noHBand="0" w:noVBand="0"/>
      </w:tblPr>
      <w:tblGrid>
        <w:gridCol w:w="550"/>
        <w:gridCol w:w="266"/>
        <w:gridCol w:w="7752"/>
      </w:tblGrid>
      <w:tr w:rsidR="005873EC" w:rsidTr="00E96CF5">
        <w:tblPrEx>
          <w:tblCellMar>
            <w:top w:w="0" w:type="dxa"/>
            <w:bottom w:w="0" w:type="dxa"/>
          </w:tblCellMar>
        </w:tblPrEx>
        <w:trPr>
          <w:trHeight w:val="405"/>
        </w:trPr>
        <w:tc>
          <w:tcPr>
            <w:tcW w:w="536" w:type="dxa"/>
          </w:tcPr>
          <w:p w:rsidR="005873EC" w:rsidRPr="003D432F" w:rsidRDefault="005873EC" w:rsidP="00A32AE1">
            <w:pPr>
              <w:widowControl w:val="0"/>
              <w:rPr>
                <w:rFonts w:ascii="Times New Roman" w:hAnsi="Times New Roman"/>
                <w:color w:val="000000"/>
                <w:szCs w:val="24"/>
              </w:rPr>
            </w:pPr>
            <w:r w:rsidRPr="003D432F">
              <w:rPr>
                <w:rFonts w:ascii="Times New Roman" w:hAnsi="Times New Roman"/>
                <w:color w:val="000000"/>
                <w:szCs w:val="24"/>
              </w:rPr>
              <w:t>C</w:t>
            </w:r>
          </w:p>
        </w:tc>
        <w:tc>
          <w:tcPr>
            <w:tcW w:w="266" w:type="dxa"/>
          </w:tcPr>
          <w:p w:rsidR="005873EC" w:rsidRDefault="005873EC" w:rsidP="00A32AE1">
            <w:pPr>
              <w:widowControl w:val="0"/>
              <w:ind w:left="-86"/>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 xml:space="preserve">Concentration of mercury for the collection period </w:t>
            </w:r>
            <w:r w:rsidR="00D61335">
              <w:rPr>
                <w:rFonts w:ascii="Times New Roman" w:hAnsi="Times New Roman"/>
                <w:color w:val="000000"/>
                <w:szCs w:val="24"/>
              </w:rPr>
              <w:t>(</w:t>
            </w:r>
            <w:r w:rsidRPr="00556FD5">
              <w:rPr>
                <w:rFonts w:ascii="Times New Roman" w:hAnsi="Times New Roman"/>
                <w:color w:val="000000"/>
                <w:szCs w:val="24"/>
              </w:rPr>
              <w:t>µgm/dscm)</w:t>
            </w:r>
            <w:r w:rsidR="00D61335">
              <w:rPr>
                <w:rFonts w:ascii="Times New Roman" w:hAnsi="Times New Roman"/>
                <w:color w:val="000000"/>
                <w:szCs w:val="24"/>
              </w:rPr>
              <w:t>.</w:t>
            </w:r>
          </w:p>
        </w:tc>
      </w:tr>
      <w:tr w:rsidR="005873EC" w:rsidTr="00A32AE1">
        <w:tblPrEx>
          <w:tblCellMar>
            <w:top w:w="0" w:type="dxa"/>
            <w:bottom w:w="0" w:type="dxa"/>
          </w:tblCellMar>
        </w:tblPrEx>
        <w:trPr>
          <w:trHeight w:val="648"/>
        </w:trPr>
        <w:tc>
          <w:tcPr>
            <w:tcW w:w="536" w:type="dxa"/>
          </w:tcPr>
          <w:p w:rsidR="005873EC" w:rsidRPr="003D432F" w:rsidRDefault="005873EC" w:rsidP="00A32AE1">
            <w:pPr>
              <w:widowControl w:val="0"/>
              <w:rPr>
                <w:rFonts w:ascii="Times New Roman" w:hAnsi="Times New Roman"/>
                <w:color w:val="000000"/>
                <w:szCs w:val="24"/>
              </w:rPr>
            </w:pPr>
            <w:r w:rsidRPr="003D432F">
              <w:rPr>
                <w:rFonts w:ascii="Times New Roman" w:hAnsi="Times New Roman"/>
                <w:color w:val="000000"/>
                <w:szCs w:val="24"/>
              </w:rPr>
              <w:t>M*</w:t>
            </w:r>
          </w:p>
        </w:tc>
        <w:tc>
          <w:tcPr>
            <w:tcW w:w="266" w:type="dxa"/>
          </w:tcPr>
          <w:p w:rsidR="005873EC" w:rsidRDefault="005873EC" w:rsidP="00A32AE1">
            <w:pPr>
              <w:widowControl w:val="0"/>
              <w:ind w:left="-86"/>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 xml:space="preserve">Total mass of mercury recovered from sections 1 and 2 of the sorbent trap </w:t>
            </w:r>
            <w:r w:rsidR="00D61335">
              <w:rPr>
                <w:rFonts w:ascii="Times New Roman" w:hAnsi="Times New Roman"/>
                <w:color w:val="000000"/>
                <w:szCs w:val="24"/>
              </w:rPr>
              <w:t>(</w:t>
            </w:r>
            <w:r w:rsidRPr="00556FD5">
              <w:rPr>
                <w:rFonts w:ascii="Times New Roman" w:hAnsi="Times New Roman"/>
                <w:color w:val="000000"/>
                <w:szCs w:val="24"/>
              </w:rPr>
              <w:t>µg)</w:t>
            </w:r>
            <w:r w:rsidR="00D61335">
              <w:rPr>
                <w:rFonts w:ascii="Times New Roman" w:hAnsi="Times New Roman"/>
                <w:color w:val="000000"/>
                <w:szCs w:val="24"/>
              </w:rPr>
              <w:t>.</w:t>
            </w:r>
          </w:p>
        </w:tc>
      </w:tr>
      <w:tr w:rsidR="005873EC" w:rsidTr="00A32AE1">
        <w:tblPrEx>
          <w:tblCellMar>
            <w:top w:w="0" w:type="dxa"/>
            <w:bottom w:w="0" w:type="dxa"/>
          </w:tblCellMar>
        </w:tblPrEx>
        <w:trPr>
          <w:trHeight w:val="144"/>
        </w:trPr>
        <w:tc>
          <w:tcPr>
            <w:tcW w:w="536" w:type="dxa"/>
          </w:tcPr>
          <w:p w:rsidR="005873EC" w:rsidRPr="003D432F" w:rsidRDefault="005873EC" w:rsidP="00A32AE1">
            <w:pPr>
              <w:widowControl w:val="0"/>
              <w:rPr>
                <w:rFonts w:ascii="Times New Roman" w:hAnsi="Times New Roman"/>
                <w:color w:val="000000"/>
                <w:szCs w:val="24"/>
              </w:rPr>
            </w:pPr>
            <w:r w:rsidRPr="003D432F">
              <w:rPr>
                <w:rFonts w:ascii="Times New Roman" w:hAnsi="Times New Roman"/>
                <w:color w:val="000000"/>
                <w:szCs w:val="24"/>
              </w:rPr>
              <w:t>V</w:t>
            </w:r>
            <w:r w:rsidRPr="003D432F">
              <w:rPr>
                <w:rFonts w:ascii="Times New Roman" w:hAnsi="Times New Roman"/>
                <w:color w:val="000000"/>
                <w:szCs w:val="24"/>
                <w:vertAlign w:val="subscript"/>
              </w:rPr>
              <w:t>t</w:t>
            </w:r>
          </w:p>
        </w:tc>
        <w:tc>
          <w:tcPr>
            <w:tcW w:w="266" w:type="dxa"/>
          </w:tcPr>
          <w:p w:rsidR="005873EC" w:rsidRPr="00556FD5" w:rsidRDefault="005873EC" w:rsidP="00A32AE1">
            <w:pPr>
              <w:widowControl w:val="0"/>
              <w:ind w:left="-86"/>
              <w:rPr>
                <w:rFonts w:ascii="Times New Roman" w:hAnsi="Times New Roman"/>
                <w:color w:val="000000"/>
                <w:szCs w:val="24"/>
              </w:rPr>
            </w:pPr>
            <w:r w:rsidRPr="00556FD5">
              <w:rPr>
                <w:rFonts w:ascii="Times New Roman" w:hAnsi="Times New Roman"/>
                <w:color w:val="000000"/>
                <w:szCs w:val="24"/>
              </w:rPr>
              <w:t>=</w:t>
            </w:r>
          </w:p>
        </w:tc>
        <w:tc>
          <w:tcPr>
            <w:tcW w:w="7766" w:type="dxa"/>
          </w:tcPr>
          <w:p w:rsidR="005873EC" w:rsidRPr="00556FD5" w:rsidRDefault="005873EC" w:rsidP="00A32AE1">
            <w:pPr>
              <w:widowControl w:val="0"/>
              <w:rPr>
                <w:rFonts w:ascii="Times New Roman" w:hAnsi="Times New Roman"/>
                <w:color w:val="000000"/>
                <w:szCs w:val="24"/>
              </w:rPr>
            </w:pPr>
            <w:r w:rsidRPr="00556FD5">
              <w:rPr>
                <w:rFonts w:ascii="Times New Roman" w:hAnsi="Times New Roman"/>
                <w:color w:val="000000"/>
                <w:szCs w:val="24"/>
              </w:rPr>
              <w:t xml:space="preserve">Total volume of dry gas metered during the collection period (dscm). For the purposes of this Exhibit, standard temperature and pressure are defined as 20 °C and 760 </w:t>
            </w:r>
            <w:r w:rsidR="00D61335">
              <w:rPr>
                <w:rFonts w:ascii="Times New Roman" w:hAnsi="Times New Roman"/>
                <w:color w:val="000000"/>
                <w:szCs w:val="24"/>
              </w:rPr>
              <w:t>mmHg</w:t>
            </w:r>
            <w:r w:rsidRPr="00556FD5">
              <w:rPr>
                <w:rFonts w:ascii="Times New Roman" w:hAnsi="Times New Roman"/>
                <w:color w:val="000000"/>
                <w:szCs w:val="24"/>
              </w:rPr>
              <w:t>, respectively.</w:t>
            </w:r>
          </w:p>
        </w:tc>
      </w:tr>
    </w:tbl>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11.6 Calculation of Paired Trap Agreement</w:t>
      </w:r>
    </w:p>
    <w:p w:rsidR="005873EC" w:rsidRPr="00556FD5" w:rsidRDefault="005873EC" w:rsidP="005873EC">
      <w:pPr>
        <w:widowControl w:val="0"/>
        <w:rPr>
          <w:rFonts w:ascii="Times New Roman" w:hAnsi="Times New Roman"/>
          <w:color w:val="000000"/>
          <w:szCs w:val="24"/>
        </w:rPr>
      </w:pPr>
      <w:bookmarkStart w:id="36" w:name="Document1zzSDUNumber1164"/>
      <w:bookmarkEnd w:id="36"/>
    </w:p>
    <w:p w:rsidR="005873EC" w:rsidRPr="00556FD5" w:rsidRDefault="005873EC" w:rsidP="005873EC">
      <w:r w:rsidRPr="00556FD5">
        <w:t>Calculate the relative deviation (RD) between the mercury concentrations measured with the paired sorbent traps:</w:t>
      </w:r>
    </w:p>
    <w:p w:rsidR="005873EC" w:rsidRPr="00556FD5" w:rsidRDefault="005873EC" w:rsidP="005873EC">
      <w:pPr>
        <w:widowControl w:val="0"/>
        <w:rPr>
          <w:rFonts w:ascii="Times New Roman" w:hAnsi="Times New Roman"/>
          <w:color w:val="000000"/>
          <w:szCs w:val="24"/>
        </w:rPr>
      </w:pPr>
    </w:p>
    <w:p w:rsidR="005873EC" w:rsidRPr="00556FD5" w:rsidRDefault="005873EC" w:rsidP="00D61335">
      <w:pPr>
        <w:widowControl w:val="0"/>
        <w:ind w:left="3573" w:firstLine="27"/>
        <w:rPr>
          <w:rFonts w:ascii="Times New Roman" w:hAnsi="Times New Roman"/>
          <w:color w:val="000000"/>
          <w:szCs w:val="24"/>
        </w:rPr>
      </w:pPr>
      <w:r w:rsidRPr="00556FD5">
        <w:rPr>
          <w:rFonts w:ascii="Times New Roman" w:hAnsi="Times New Roman"/>
          <w:color w:val="000000"/>
          <w:position w:val="-30"/>
          <w:szCs w:val="24"/>
        </w:rPr>
        <w:object w:dxaOrig="2079" w:dyaOrig="740">
          <v:shape id="_x0000_i1030" type="#_x0000_t75" style="width:104.25pt;height:36.75pt" o:ole="">
            <v:imagedata r:id="rId52" o:title=""/>
          </v:shape>
          <o:OLEObject Type="Embed" ProgID="Equation.3" ShapeID="_x0000_i1030" DrawAspect="Content" ObjectID="_1401800612" r:id="rId53"/>
        </w:object>
      </w:r>
      <w:r>
        <w:rPr>
          <w:rFonts w:ascii="Times New Roman" w:hAnsi="Times New Roman"/>
          <w:color w:val="000000"/>
          <w:szCs w:val="24"/>
        </w:rPr>
        <w:tab/>
      </w:r>
      <w:r>
        <w:rPr>
          <w:rFonts w:ascii="Times New Roman" w:hAnsi="Times New Roman"/>
          <w:color w:val="000000"/>
          <w:szCs w:val="24"/>
        </w:rPr>
        <w:tab/>
      </w:r>
      <w:r w:rsidR="00D61335">
        <w:rPr>
          <w:rFonts w:ascii="Times New Roman" w:hAnsi="Times New Roman"/>
          <w:color w:val="000000"/>
          <w:szCs w:val="24"/>
        </w:rPr>
        <w:tab/>
      </w:r>
      <w:r w:rsidRPr="00556FD5">
        <w:rPr>
          <w:rFonts w:ascii="Times New Roman" w:hAnsi="Times New Roman"/>
          <w:color w:val="000000"/>
          <w:szCs w:val="24"/>
        </w:rPr>
        <w:t>(Eq</w:t>
      </w:r>
      <w:r w:rsidR="00D61335">
        <w:rPr>
          <w:rFonts w:ascii="Times New Roman" w:hAnsi="Times New Roman"/>
          <w:color w:val="000000"/>
          <w:szCs w:val="24"/>
        </w:rPr>
        <w:t>.</w:t>
      </w:r>
      <w:r w:rsidRPr="00556FD5">
        <w:rPr>
          <w:rFonts w:ascii="Times New Roman" w:hAnsi="Times New Roman"/>
          <w:color w:val="000000"/>
          <w:szCs w:val="24"/>
        </w:rPr>
        <w:t xml:space="preserve"> K-6)</w:t>
      </w:r>
    </w:p>
    <w:p w:rsidR="005873EC" w:rsidRPr="00556FD5" w:rsidRDefault="005873EC" w:rsidP="005873EC">
      <w:pPr>
        <w:widowControl w:val="0"/>
        <w:ind w:left="360" w:hanging="360"/>
        <w:rPr>
          <w:rFonts w:ascii="Times New Roman" w:hAnsi="Times New Roman"/>
          <w:color w:val="000000"/>
          <w:szCs w:val="24"/>
        </w:rPr>
      </w:pPr>
    </w:p>
    <w:p w:rsidR="005873EC" w:rsidRPr="00556FD5" w:rsidRDefault="005873EC" w:rsidP="005873E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rsidR="005873EC" w:rsidRDefault="005873EC" w:rsidP="005873EC">
      <w:pPr>
        <w:widowControl w:val="0"/>
        <w:rPr>
          <w:rFonts w:ascii="Times New Roman" w:hAnsi="Times New Roman"/>
          <w:color w:val="000000"/>
          <w:szCs w:val="24"/>
        </w:rPr>
      </w:pPr>
    </w:p>
    <w:tbl>
      <w:tblPr>
        <w:tblW w:w="0" w:type="auto"/>
        <w:tblInd w:w="1053" w:type="dxa"/>
        <w:tblLook w:val="0000" w:firstRow="0" w:lastRow="0" w:firstColumn="0" w:lastColumn="0" w:noHBand="0" w:noVBand="0"/>
      </w:tblPr>
      <w:tblGrid>
        <w:gridCol w:w="550"/>
        <w:gridCol w:w="279"/>
        <w:gridCol w:w="7694"/>
      </w:tblGrid>
      <w:tr w:rsidR="005873EC" w:rsidTr="00A32AE1">
        <w:tblPrEx>
          <w:tblCellMar>
            <w:top w:w="0" w:type="dxa"/>
            <w:bottom w:w="0" w:type="dxa"/>
          </w:tblCellMar>
        </w:tblPrEx>
        <w:trPr>
          <w:trHeight w:val="630"/>
        </w:trPr>
        <w:tc>
          <w:tcPr>
            <w:tcW w:w="55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RD</w:t>
            </w:r>
          </w:p>
        </w:tc>
        <w:tc>
          <w:tcPr>
            <w:tcW w:w="279" w:type="dxa"/>
          </w:tcPr>
          <w:p w:rsidR="005873EC" w:rsidRDefault="005873EC" w:rsidP="00A32AE1">
            <w:pPr>
              <w:widowControl w:val="0"/>
              <w:ind w:left="-73"/>
              <w:rPr>
                <w:rFonts w:ascii="Times New Roman" w:hAnsi="Times New Roman"/>
                <w:color w:val="000000"/>
                <w:szCs w:val="24"/>
              </w:rPr>
            </w:pPr>
            <w:r w:rsidRPr="00556FD5">
              <w:rPr>
                <w:rFonts w:ascii="Times New Roman" w:hAnsi="Times New Roman"/>
                <w:color w:val="000000"/>
                <w:szCs w:val="24"/>
              </w:rPr>
              <w:t>=</w:t>
            </w:r>
          </w:p>
        </w:tc>
        <w:tc>
          <w:tcPr>
            <w:tcW w:w="7694"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Relative deviation between the mercury concentrations from traps "a" and "b" (percent)</w:t>
            </w:r>
            <w:r w:rsidR="00D61335">
              <w:rPr>
                <w:rFonts w:ascii="Times New Roman" w:hAnsi="Times New Roman"/>
                <w:color w:val="000000"/>
                <w:szCs w:val="24"/>
              </w:rPr>
              <w:t>.</w:t>
            </w:r>
          </w:p>
        </w:tc>
      </w:tr>
      <w:tr w:rsidR="005873EC" w:rsidTr="00A32AE1">
        <w:tblPrEx>
          <w:tblCellMar>
            <w:top w:w="0" w:type="dxa"/>
            <w:bottom w:w="0" w:type="dxa"/>
          </w:tblCellMar>
        </w:tblPrEx>
        <w:trPr>
          <w:trHeight w:val="630"/>
        </w:trPr>
        <w:tc>
          <w:tcPr>
            <w:tcW w:w="55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C</w:t>
            </w:r>
            <w:r w:rsidRPr="003922EF">
              <w:rPr>
                <w:rFonts w:ascii="Times New Roman" w:hAnsi="Times New Roman"/>
                <w:color w:val="000000"/>
                <w:szCs w:val="24"/>
                <w:vertAlign w:val="subscript"/>
              </w:rPr>
              <w:t>a</w:t>
            </w:r>
          </w:p>
        </w:tc>
        <w:tc>
          <w:tcPr>
            <w:tcW w:w="279" w:type="dxa"/>
          </w:tcPr>
          <w:p w:rsidR="005873EC" w:rsidRDefault="005873EC" w:rsidP="00A32AE1">
            <w:pPr>
              <w:widowControl w:val="0"/>
              <w:ind w:left="-73"/>
              <w:rPr>
                <w:rFonts w:ascii="Times New Roman" w:hAnsi="Times New Roman"/>
                <w:color w:val="000000"/>
                <w:szCs w:val="24"/>
              </w:rPr>
            </w:pPr>
            <w:r w:rsidRPr="00556FD5">
              <w:rPr>
                <w:rFonts w:ascii="Times New Roman" w:hAnsi="Times New Roman"/>
                <w:color w:val="000000"/>
                <w:szCs w:val="24"/>
              </w:rPr>
              <w:t>=</w:t>
            </w:r>
          </w:p>
        </w:tc>
        <w:tc>
          <w:tcPr>
            <w:tcW w:w="7694" w:type="dxa"/>
          </w:tcPr>
          <w:p w:rsidR="005873EC" w:rsidRDefault="005873EC" w:rsidP="00A32AE1">
            <w:pPr>
              <w:widowControl w:val="0"/>
              <w:rPr>
                <w:rFonts w:ascii="Times New Roman" w:hAnsi="Times New Roman"/>
                <w:color w:val="000000"/>
                <w:szCs w:val="24"/>
              </w:rPr>
            </w:pPr>
            <w:r w:rsidRPr="00556FD5">
              <w:rPr>
                <w:rFonts w:ascii="Times New Roman" w:hAnsi="Times New Roman"/>
                <w:color w:val="000000"/>
                <w:szCs w:val="24"/>
              </w:rPr>
              <w:t>Concentration of mercury for the collection period, for sorbent trap "a" (µgm/dscm)</w:t>
            </w:r>
            <w:r w:rsidR="00D61335">
              <w:rPr>
                <w:rFonts w:ascii="Times New Roman" w:hAnsi="Times New Roman"/>
                <w:color w:val="000000"/>
                <w:szCs w:val="24"/>
              </w:rPr>
              <w:t>.</w:t>
            </w:r>
          </w:p>
        </w:tc>
      </w:tr>
      <w:tr w:rsidR="005873EC" w:rsidTr="00A32AE1">
        <w:tblPrEx>
          <w:tblCellMar>
            <w:top w:w="0" w:type="dxa"/>
            <w:bottom w:w="0" w:type="dxa"/>
          </w:tblCellMar>
        </w:tblPrEx>
        <w:trPr>
          <w:trHeight w:val="144"/>
        </w:trPr>
        <w:tc>
          <w:tcPr>
            <w:tcW w:w="550" w:type="dxa"/>
          </w:tcPr>
          <w:p w:rsidR="005873EC" w:rsidRPr="003922EF" w:rsidRDefault="005873EC" w:rsidP="00A32AE1">
            <w:pPr>
              <w:widowControl w:val="0"/>
              <w:rPr>
                <w:rFonts w:ascii="Times New Roman" w:hAnsi="Times New Roman"/>
                <w:color w:val="000000"/>
                <w:szCs w:val="24"/>
              </w:rPr>
            </w:pPr>
            <w:r w:rsidRPr="003922EF">
              <w:rPr>
                <w:rFonts w:ascii="Times New Roman" w:hAnsi="Times New Roman"/>
                <w:color w:val="000000"/>
                <w:szCs w:val="24"/>
              </w:rPr>
              <w:t>C</w:t>
            </w:r>
            <w:r w:rsidRPr="003922EF">
              <w:rPr>
                <w:rFonts w:ascii="Times New Roman" w:hAnsi="Times New Roman"/>
                <w:color w:val="000000"/>
                <w:szCs w:val="24"/>
                <w:vertAlign w:val="subscript"/>
              </w:rPr>
              <w:t>b</w:t>
            </w:r>
          </w:p>
        </w:tc>
        <w:tc>
          <w:tcPr>
            <w:tcW w:w="279" w:type="dxa"/>
          </w:tcPr>
          <w:p w:rsidR="005873EC" w:rsidRPr="00556FD5" w:rsidRDefault="005873EC" w:rsidP="00A32AE1">
            <w:pPr>
              <w:widowControl w:val="0"/>
              <w:ind w:left="-73"/>
              <w:rPr>
                <w:rFonts w:ascii="Times New Roman" w:hAnsi="Times New Roman"/>
                <w:color w:val="000000"/>
                <w:szCs w:val="24"/>
              </w:rPr>
            </w:pPr>
            <w:r w:rsidRPr="00556FD5">
              <w:rPr>
                <w:rFonts w:ascii="Times New Roman" w:hAnsi="Times New Roman"/>
                <w:color w:val="000000"/>
                <w:szCs w:val="24"/>
              </w:rPr>
              <w:t>=</w:t>
            </w:r>
          </w:p>
        </w:tc>
        <w:tc>
          <w:tcPr>
            <w:tcW w:w="7694" w:type="dxa"/>
          </w:tcPr>
          <w:p w:rsidR="005873EC" w:rsidRPr="00556FD5" w:rsidRDefault="005873EC" w:rsidP="00A32AE1">
            <w:pPr>
              <w:widowControl w:val="0"/>
              <w:rPr>
                <w:rFonts w:ascii="Times New Roman" w:hAnsi="Times New Roman"/>
                <w:color w:val="000000"/>
                <w:szCs w:val="24"/>
              </w:rPr>
            </w:pPr>
            <w:r w:rsidRPr="00556FD5">
              <w:rPr>
                <w:rFonts w:ascii="Times New Roman" w:hAnsi="Times New Roman"/>
                <w:color w:val="000000"/>
                <w:szCs w:val="24"/>
              </w:rPr>
              <w:t>Concentration of mercury for the collection period, for sorbent trap "b" (µgm/dscm)</w:t>
            </w:r>
            <w:r w:rsidR="00D61335">
              <w:rPr>
                <w:rFonts w:ascii="Times New Roman" w:hAnsi="Times New Roman"/>
                <w:color w:val="000000"/>
                <w:szCs w:val="24"/>
              </w:rPr>
              <w:t>.</w:t>
            </w:r>
          </w:p>
        </w:tc>
      </w:tr>
    </w:tbl>
    <w:p w:rsidR="005873EC" w:rsidRDefault="005873EC" w:rsidP="005873EC">
      <w:pPr>
        <w:widowControl w:val="0"/>
        <w:rPr>
          <w:rFonts w:ascii="Times New Roman" w:hAnsi="Times New Roman"/>
          <w:color w:val="000000"/>
          <w:szCs w:val="24"/>
        </w:rPr>
      </w:pPr>
    </w:p>
    <w:p w:rsidR="005873EC" w:rsidRPr="00556FD5" w:rsidRDefault="005873EC" w:rsidP="005873EC">
      <w:pPr>
        <w:widowControl w:val="0"/>
        <w:jc w:val="center"/>
        <w:rPr>
          <w:rFonts w:ascii="Times New Roman" w:hAnsi="Times New Roman"/>
          <w:color w:val="000000"/>
          <w:szCs w:val="24"/>
        </w:rPr>
      </w:pPr>
      <w:r w:rsidRPr="00556FD5">
        <w:rPr>
          <w:rFonts w:ascii="Times New Roman" w:hAnsi="Times New Roman"/>
          <w:color w:val="000000"/>
          <w:szCs w:val="24"/>
        </w:rPr>
        <w:t>11.7 Calculation of Mercury Mass Emissions</w:t>
      </w:r>
    </w:p>
    <w:p w:rsidR="005873EC" w:rsidRPr="00556FD5" w:rsidRDefault="005873EC" w:rsidP="005873EC">
      <w:pPr>
        <w:widowControl w:val="0"/>
        <w:rPr>
          <w:rFonts w:ascii="Times New Roman" w:hAnsi="Times New Roman"/>
          <w:color w:val="000000"/>
          <w:szCs w:val="24"/>
        </w:rPr>
      </w:pPr>
    </w:p>
    <w:p w:rsidR="005873EC" w:rsidRPr="00D61335" w:rsidRDefault="005873EC" w:rsidP="00D61335">
      <w:r w:rsidRPr="00D61335">
        <w:t>To calculate mercury mass emissions, follow the procedures in Section 4.1.2 of Exhibit C to Appendix</w:t>
      </w:r>
      <w:r w:rsidR="00D61335">
        <w:t xml:space="preserve"> B</w:t>
      </w:r>
      <w:r w:rsidRPr="00D61335">
        <w:t xml:space="preserve">. Use the average of the two mercury concentrations from the paired traps in the calculations, except as provided in </w:t>
      </w:r>
      <w:hyperlink r:id="rId54" w:history="1">
        <w:r w:rsidRPr="00B65E3C">
          <w:rPr>
            <w:rStyle w:val="Hyperlink"/>
            <w:color w:val="auto"/>
            <w:u w:val="none"/>
          </w:rPr>
          <w:t xml:space="preserve">Section </w:t>
        </w:r>
      </w:hyperlink>
      <w:r w:rsidR="00D03DDA">
        <w:t>1.3(h)</w:t>
      </w:r>
      <w:r w:rsidRPr="00D61335">
        <w:t xml:space="preserve"> of Exhibit </w:t>
      </w:r>
      <w:r w:rsidR="00D03DDA">
        <w:t>A</w:t>
      </w:r>
      <w:r w:rsidRPr="00D61335">
        <w:t xml:space="preserve"> to </w:t>
      </w:r>
      <w:r w:rsidR="00D03DDA">
        <w:t xml:space="preserve">this </w:t>
      </w:r>
      <w:r w:rsidRPr="00D61335">
        <w:t>Appendix or in Table K-1.</w:t>
      </w:r>
    </w:p>
    <w:p w:rsidR="005873EC" w:rsidRPr="00D61335" w:rsidRDefault="005873EC" w:rsidP="00D61335"/>
    <w:p w:rsidR="005873EC" w:rsidRPr="00556FD5" w:rsidRDefault="005873EC" w:rsidP="005873EC">
      <w:pPr>
        <w:widowControl w:val="0"/>
        <w:jc w:val="center"/>
        <w:rPr>
          <w:rFonts w:ascii="Times New Roman" w:hAnsi="Times New Roman"/>
          <w:color w:val="000000"/>
          <w:szCs w:val="24"/>
        </w:rPr>
      </w:pPr>
      <w:bookmarkStart w:id="37" w:name="Document1zzSDUNumber1165"/>
      <w:bookmarkEnd w:id="37"/>
      <w:r w:rsidRPr="00556FD5">
        <w:rPr>
          <w:rFonts w:ascii="Times New Roman" w:hAnsi="Times New Roman"/>
          <w:color w:val="000000"/>
          <w:szCs w:val="24"/>
        </w:rPr>
        <w:t>12.0 Method Performance</w:t>
      </w:r>
    </w:p>
    <w:p w:rsidR="005873EC" w:rsidRPr="00556FD5" w:rsidRDefault="005873EC" w:rsidP="005873EC">
      <w:pPr>
        <w:widowControl w:val="0"/>
        <w:rPr>
          <w:rFonts w:ascii="Times New Roman" w:hAnsi="Times New Roman"/>
          <w:color w:val="000000"/>
          <w:szCs w:val="24"/>
        </w:rPr>
      </w:pPr>
    </w:p>
    <w:p w:rsidR="005873EC" w:rsidRPr="00556FD5" w:rsidRDefault="005873EC" w:rsidP="005873EC">
      <w:pPr>
        <w:rPr>
          <w:rFonts w:ascii="Times New Roman" w:hAnsi="Times New Roman"/>
          <w:color w:val="000000"/>
          <w:szCs w:val="24"/>
        </w:rPr>
      </w:pPr>
      <w:r w:rsidRPr="00556FD5">
        <w:rPr>
          <w:rFonts w:ascii="Times New Roman" w:hAnsi="Times New Roman"/>
          <w:color w:val="000000"/>
          <w:szCs w:val="24"/>
        </w:rPr>
        <w:t>These monitoring criteria and procedures have been applied to coal-fired utility boilers (including units with post-combustion emission controls), having vapor-phase mercury concentrations ranging from 0.03 µg/dscm to 100 µg/dscm.</w:t>
      </w:r>
    </w:p>
    <w:p w:rsidR="005873EC" w:rsidRDefault="005873EC" w:rsidP="005873EC"/>
    <w:p w:rsidR="005873EC" w:rsidRPr="00D55B37" w:rsidRDefault="005873EC" w:rsidP="005873EC">
      <w:pPr>
        <w:pStyle w:val="JCARSourceNote"/>
        <w:ind w:left="720"/>
      </w:pPr>
      <w:r w:rsidRPr="00D55B37">
        <w:t xml:space="preserve">(Source:  Added at </w:t>
      </w:r>
      <w:r>
        <w:t>33</w:t>
      </w:r>
      <w:r w:rsidRPr="00D55B37">
        <w:t xml:space="preserve"> Ill. Reg. </w:t>
      </w:r>
      <w:r w:rsidR="00705CF1">
        <w:t>10427</w:t>
      </w:r>
      <w:r w:rsidRPr="00D55B37">
        <w:t xml:space="preserve">, effective </w:t>
      </w:r>
      <w:r w:rsidR="00705CF1">
        <w:t>June 26, 2009</w:t>
      </w:r>
      <w:r w:rsidRPr="00D55B37">
        <w:t>)</w:t>
      </w:r>
    </w:p>
    <w:sectPr w:rsidR="005873E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3A" w:rsidRDefault="00913A3A">
      <w:r>
        <w:separator/>
      </w:r>
    </w:p>
  </w:endnote>
  <w:endnote w:type="continuationSeparator" w:id="0">
    <w:p w:rsidR="00913A3A" w:rsidRDefault="009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3A" w:rsidRDefault="00913A3A">
      <w:r>
        <w:separator/>
      </w:r>
    </w:p>
  </w:footnote>
  <w:footnote w:type="continuationSeparator" w:id="0">
    <w:p w:rsidR="00913A3A" w:rsidRDefault="00913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3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A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749"/>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B7A8C"/>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219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AD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3EC"/>
    <w:rsid w:val="005901D4"/>
    <w:rsid w:val="005948A7"/>
    <w:rsid w:val="005A1C57"/>
    <w:rsid w:val="005A2494"/>
    <w:rsid w:val="005A73F7"/>
    <w:rsid w:val="005C7438"/>
    <w:rsid w:val="005D35F3"/>
    <w:rsid w:val="005E03A7"/>
    <w:rsid w:val="005E3D55"/>
    <w:rsid w:val="005F2891"/>
    <w:rsid w:val="005F34E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234C"/>
    <w:rsid w:val="006C45D5"/>
    <w:rsid w:val="006E00BF"/>
    <w:rsid w:val="006E1AE0"/>
    <w:rsid w:val="006E1F95"/>
    <w:rsid w:val="006E6D53"/>
    <w:rsid w:val="006F36BD"/>
    <w:rsid w:val="006F7BF8"/>
    <w:rsid w:val="00700FB4"/>
    <w:rsid w:val="00702A38"/>
    <w:rsid w:val="00705CF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5A36"/>
    <w:rsid w:val="00910413"/>
    <w:rsid w:val="00913A3A"/>
    <w:rsid w:val="00915C6D"/>
    <w:rsid w:val="009168BC"/>
    <w:rsid w:val="00921F8B"/>
    <w:rsid w:val="00922286"/>
    <w:rsid w:val="00931CDC"/>
    <w:rsid w:val="00934057"/>
    <w:rsid w:val="0093513C"/>
    <w:rsid w:val="00935A8C"/>
    <w:rsid w:val="009418B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89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AE1"/>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E3C"/>
    <w:rsid w:val="00B66F59"/>
    <w:rsid w:val="00B678F1"/>
    <w:rsid w:val="00B71019"/>
    <w:rsid w:val="00B71177"/>
    <w:rsid w:val="00B72AB2"/>
    <w:rsid w:val="00B77077"/>
    <w:rsid w:val="00B817A1"/>
    <w:rsid w:val="00B839A1"/>
    <w:rsid w:val="00B83B6B"/>
    <w:rsid w:val="00B8444F"/>
    <w:rsid w:val="00B86B5A"/>
    <w:rsid w:val="00BA2E0F"/>
    <w:rsid w:val="00BB0A4F"/>
    <w:rsid w:val="00BB1772"/>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3DDA"/>
    <w:rsid w:val="00D0676C"/>
    <w:rsid w:val="00D10D50"/>
    <w:rsid w:val="00D17DC3"/>
    <w:rsid w:val="00D2155A"/>
    <w:rsid w:val="00D27015"/>
    <w:rsid w:val="00D2776C"/>
    <w:rsid w:val="00D27E4E"/>
    <w:rsid w:val="00D32AA7"/>
    <w:rsid w:val="00D33832"/>
    <w:rsid w:val="00D46468"/>
    <w:rsid w:val="00D55B37"/>
    <w:rsid w:val="00D5634E"/>
    <w:rsid w:val="00D6133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CF5"/>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3E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5873EC"/>
    <w:pPr>
      <w:widowControl w:val="0"/>
      <w:overflowPunct/>
      <w:textAlignment w:val="auto"/>
    </w:pPr>
    <w:rPr>
      <w:rFonts w:ascii="Times New Roman" w:hAnsi="Times New Roman"/>
      <w:color w:val="000000"/>
      <w:u w:val="single"/>
    </w:rPr>
  </w:style>
  <w:style w:type="character" w:styleId="Hyperlink">
    <w:name w:val="Hyperlink"/>
    <w:basedOn w:val="DefaultParagraphFont"/>
    <w:rsid w:val="00D613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3E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5873EC"/>
    <w:pPr>
      <w:widowControl w:val="0"/>
      <w:overflowPunct/>
      <w:textAlignment w:val="auto"/>
    </w:pPr>
    <w:rPr>
      <w:rFonts w:ascii="Times New Roman" w:hAnsi="Times New Roman"/>
      <w:color w:val="000000"/>
      <w:u w:val="single"/>
    </w:rPr>
  </w:style>
  <w:style w:type="character" w:styleId="Hyperlink">
    <w:name w:val="Hyperlink"/>
    <w:basedOn w:val="DefaultParagraphFont"/>
    <w:rsid w:val="00D61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1000546&amp;DocName=40USCAS8&amp;FindType=L" TargetMode="External"/><Relationship Id="rId18" Type="http://schemas.openxmlformats.org/officeDocument/2006/relationships/hyperlink" Target="http://www.westlaw.com/TOC/Default.wl?rs=dfa1.0&amp;vr=2.0&amp;DB=1000547&amp;DocName=40CFRS11.1&amp;FindType=VP" TargetMode="External"/><Relationship Id="rId26" Type="http://schemas.openxmlformats.org/officeDocument/2006/relationships/hyperlink" Target="http://www.westlaw.com/TOC/Default.wl?rs=dfa1.0&amp;vr=2.0&amp;DB=1000547&amp;DocName=40CFRS75.20&amp;FindType=VP&amp;ReferencePositionType=T&amp;ReferencePosition=SP_4b24000003ba5" TargetMode="External"/><Relationship Id="rId39" Type="http://schemas.openxmlformats.org/officeDocument/2006/relationships/hyperlink" Target="http://www.westlaw.com/Find/Default.wl?rs=dfa1.0&amp;vr=2.0&amp;DB=1000546&amp;DocName=40USCAS2&amp;FindType=L" TargetMode="External"/><Relationship Id="rId21" Type="http://schemas.openxmlformats.org/officeDocument/2006/relationships/hyperlink" Target="http://www.westlaw.com/Find/Default.wl?rs=dfa1.0&amp;vr=2.0&amp;DB=1000546&amp;DocName=40USCAS3&amp;FindType=L" TargetMode="External"/><Relationship Id="rId34" Type="http://schemas.openxmlformats.org/officeDocument/2006/relationships/hyperlink" Target="http://www.westlaw.com/Find/Default.wl?rs=dfa1.0&amp;vr=2.0&amp;DB=1000546&amp;DocName=40USCAS2&amp;FindType=L" TargetMode="External"/><Relationship Id="rId42" Type="http://schemas.openxmlformats.org/officeDocument/2006/relationships/oleObject" Target="embeddings/oleObject1.bin"/><Relationship Id="rId47" Type="http://schemas.openxmlformats.org/officeDocument/2006/relationships/oleObject" Target="embeddings/oleObject3.bin"/><Relationship Id="rId50" Type="http://schemas.openxmlformats.org/officeDocument/2006/relationships/image" Target="media/image5.wmf"/><Relationship Id="rId55" Type="http://schemas.openxmlformats.org/officeDocument/2006/relationships/fontTable" Target="fontTable.xml"/><Relationship Id="rId7" Type="http://schemas.openxmlformats.org/officeDocument/2006/relationships/hyperlink" Target="http://www.westlaw.com/Find/Default.wl?rs=dfa1.0&amp;vr=2.0&amp;DB=CFR&amp;DocName=LK%2840CFRPT75APPK%29&amp;FindType=l" TargetMode="External"/><Relationship Id="rId12" Type="http://schemas.openxmlformats.org/officeDocument/2006/relationships/hyperlink" Target="http://www.westlaw.com/Find/Default.wl?rs=dfa1.0&amp;vr=2.0&amp;DB=1000546&amp;DocName=40USCAS3&amp;FindType=L" TargetMode="External"/><Relationship Id="rId17" Type="http://schemas.openxmlformats.org/officeDocument/2006/relationships/hyperlink" Target="http://www.westlaw.com/Find/Default.wl?rs=dfa1.0&amp;vr=2.0&amp;DB=1000546&amp;DocName=40USCAS1&amp;FindType=L" TargetMode="External"/><Relationship Id="rId25" Type="http://schemas.openxmlformats.org/officeDocument/2006/relationships/hyperlink" Target="http://www.westlaw.com/TOC/Default.wl?rs=dfa1.0&amp;vr=2.0&amp;DB=1000547&amp;DocName=40CFRS75.11&amp;FindType=VP" TargetMode="External"/><Relationship Id="rId33" Type="http://schemas.openxmlformats.org/officeDocument/2006/relationships/hyperlink" Target="http://www.westlaw.com/Find/Default.wl?rs=dfa1.0&amp;vr=2.0&amp;DB=1000546&amp;DocName=40USCAS1&amp;FindType=L" TargetMode="External"/><Relationship Id="rId38" Type="http://schemas.openxmlformats.org/officeDocument/2006/relationships/hyperlink" Target="http://www.westlaw.com/Find/Default.wl?rs=dfa1.0&amp;vr=2.0&amp;DB=1000546&amp;DocName=40USCAS1&amp;FindType=L" TargetMode="External"/><Relationship Id="rId46"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hyperlink" Target="http://www.westlaw.com/Find/Default.wl?rs=dfa1.0&amp;vr=2.0&amp;DB=1000546&amp;DocName=40USCAS3&amp;FindType=L" TargetMode="External"/><Relationship Id="rId20" Type="http://schemas.openxmlformats.org/officeDocument/2006/relationships/hyperlink" Target="http://www.westlaw.com/Find/Default.wl?rs=dfa1.0&amp;vr=2.0&amp;DB=1000546&amp;DocName=40USCAS1&amp;FindType=L" TargetMode="External"/><Relationship Id="rId29" Type="http://schemas.openxmlformats.org/officeDocument/2006/relationships/hyperlink" Target="http://www.westlaw.com/Find/Default.wl?rs=dfa1.0&amp;vr=2.0&amp;DB=1000546&amp;DocName=40USCAS16&amp;FindType=L" TargetMode="External"/><Relationship Id="rId41" Type="http://schemas.openxmlformats.org/officeDocument/2006/relationships/image" Target="media/image1.wmf"/><Relationship Id="rId54" Type="http://schemas.openxmlformats.org/officeDocument/2006/relationships/hyperlink" Target="http://www.westlaw.com/TOC/Default.wl?rs=dfa1.0&amp;vr=2.0&amp;DB=1000547&amp;DocName=40CFRS75.15&amp;FindType=VP&amp;ReferencePositionType=T&amp;ReferencePosition=SP_f383000077b3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stlaw.com/Find/Default.wl?rs=dfa1.0&amp;vr=2.0&amp;DB=1000546&amp;DocName=40USCAS2&amp;FindType=L" TargetMode="External"/><Relationship Id="rId24" Type="http://schemas.openxmlformats.org/officeDocument/2006/relationships/hyperlink" Target="http://www.westlaw.com/TOC/Default.wl?rs=dfa1.0&amp;vr=2.0&amp;DB=1000547&amp;DocName=40CFRS75.11&amp;FindType=VP&amp;ReferencePositionType=T&amp;ReferencePosition=SP_a83b000018c76" TargetMode="External"/><Relationship Id="rId32" Type="http://schemas.openxmlformats.org/officeDocument/2006/relationships/hyperlink" Target="http://www.westlaw.com/Find/Default.wl?rs=dfa1.0&amp;vr=2.0&amp;DB=1000546&amp;DocName=40USCAS8&amp;FindType=L" TargetMode="External"/><Relationship Id="rId37" Type="http://schemas.openxmlformats.org/officeDocument/2006/relationships/hyperlink" Target="http://www.westlaw.com/Find/Default.wl?rs=dfa1.0&amp;vr=2.0&amp;DB=1000546&amp;DocName=40USCAS3&amp;FindType=L" TargetMode="External"/><Relationship Id="rId40" Type="http://schemas.openxmlformats.org/officeDocument/2006/relationships/hyperlink" Target="http://www.westlaw.com/Find/Default.wl?rs=dfa1.0&amp;vr=2.0&amp;DB=1000546&amp;DocName=40USCAS3&amp;FindType=L" TargetMode="External"/><Relationship Id="rId45" Type="http://schemas.openxmlformats.org/officeDocument/2006/relationships/hyperlink" Target="http://www.westlaw.com/Find/Default.wl?rs=dfa1.0&amp;vr=2.0&amp;DB=1000546&amp;DocName=40USCAS3&amp;FindType=L" TargetMode="External"/><Relationship Id="rId53"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hyperlink" Target="http://www.westlaw.com/Find/Default.wl?rs=dfa1.0&amp;vr=2.0&amp;DB=1000546&amp;DocName=40USCAS8&amp;FindType=L" TargetMode="External"/><Relationship Id="rId23" Type="http://schemas.openxmlformats.org/officeDocument/2006/relationships/hyperlink" Target="http://www.westlaw.com/Find/Default.wl?rs=dfa1.0&amp;vr=2.0&amp;DB=1000546&amp;DocName=40USCAS11&amp;FindType=L" TargetMode="External"/><Relationship Id="rId28" Type="http://schemas.openxmlformats.org/officeDocument/2006/relationships/hyperlink" Target="http://www.westlaw.com/Find/Default.wl?rs=dfa1.0&amp;vr=2.0&amp;DB=1000546&amp;DocName=40USCAS16&amp;FindType=L" TargetMode="External"/><Relationship Id="rId36" Type="http://schemas.openxmlformats.org/officeDocument/2006/relationships/hyperlink" Target="http://www.westlaw.com/TOC/Default.wl?rs=dfa1.0&amp;vr=2.0&amp;DB=1000547&amp;DocName=40CFRS10.1&amp;FindType=VP" TargetMode="External"/><Relationship Id="rId49" Type="http://schemas.openxmlformats.org/officeDocument/2006/relationships/oleObject" Target="embeddings/oleObject4.bin"/><Relationship Id="rId10" Type="http://schemas.openxmlformats.org/officeDocument/2006/relationships/hyperlink" Target="http://www.westlaw.com/Find/Default.wl?rs=dfa1.0&amp;vr=2.0&amp;DB=1000546&amp;DocName=40USCAS1&amp;FindType=L" TargetMode="External"/><Relationship Id="rId19" Type="http://schemas.openxmlformats.org/officeDocument/2006/relationships/hyperlink" Target="http://www.westlaw.com/Find/Default.wl?rs=dfa1.0&amp;vr=2.0&amp;DB=1000546&amp;DocName=40USCAS3&amp;FindType=L" TargetMode="External"/><Relationship Id="rId31" Type="http://schemas.openxmlformats.org/officeDocument/2006/relationships/hyperlink" Target="http://www.westlaw.com/TOC/Default.wl?rs=dfa1.0&amp;vr=2.0&amp;DB=1000547&amp;DocName=40CFRS10.1&amp;FindType=VP" TargetMode="External"/><Relationship Id="rId44" Type="http://schemas.openxmlformats.org/officeDocument/2006/relationships/oleObject" Target="embeddings/oleObject2.bin"/><Relationship Id="rId52"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www.westlaw.com/TOC/Default.wl?rs=dfa1.0&amp;vr=2.0&amp;DB=1000547&amp;DocName=40CFRS75.11&amp;FindType=VP&amp;ReferencePositionType=T&amp;ReferencePosition=SP_a83b000018c76" TargetMode="External"/><Relationship Id="rId14" Type="http://schemas.openxmlformats.org/officeDocument/2006/relationships/hyperlink" Target="http://www.westlaw.com/Find/Default.wl?rs=dfa1.0&amp;vr=2.0&amp;DB=1000546&amp;DocName=40USCAS3&amp;FindType=L" TargetMode="External"/><Relationship Id="rId22" Type="http://schemas.openxmlformats.org/officeDocument/2006/relationships/hyperlink" Target="http://www.westlaw.com/Find/Default.wl?rs=dfa1.0&amp;vr=2.0&amp;DB=1000546&amp;DocName=40USCAS3&amp;FindType=L" TargetMode="External"/><Relationship Id="rId27" Type="http://schemas.openxmlformats.org/officeDocument/2006/relationships/hyperlink" Target="http://www.westlaw.com/TOC/Default.wl?rs=dfa1.0&amp;vr=2.0&amp;DB=1000547&amp;DocName=40CFRS75.15&amp;FindType=VP&amp;ReferencePositionType=T&amp;ReferencePosition=SP_f383000077b35" TargetMode="External"/><Relationship Id="rId30" Type="http://schemas.openxmlformats.org/officeDocument/2006/relationships/hyperlink" Target="http://www.westlaw.com/TOC/Default.wl?rs=dfa1.0&amp;vr=2.0&amp;DB=1000547&amp;DocName=40CFRS10.3&amp;FindType=VP" TargetMode="External"/><Relationship Id="rId35" Type="http://schemas.openxmlformats.org/officeDocument/2006/relationships/hyperlink" Target="http://www.westlaw.com/Find/Default.wl?rs=dfa1.0&amp;vr=2.0&amp;DB=1000546&amp;DocName=40USCAS3&amp;FindType=L" TargetMode="External"/><Relationship Id="rId43" Type="http://schemas.openxmlformats.org/officeDocument/2006/relationships/image" Target="media/image2.wmf"/><Relationship Id="rId48" Type="http://schemas.openxmlformats.org/officeDocument/2006/relationships/image" Target="media/image4.wmf"/><Relationship Id="rId56" Type="http://schemas.openxmlformats.org/officeDocument/2006/relationships/theme" Target="theme/theme1.xml"/><Relationship Id="rId8" Type="http://schemas.openxmlformats.org/officeDocument/2006/relationships/hyperlink" Target="http://www.westlaw.com/Find/Default.wl?rs=dfa1.0&amp;vr=2.0&amp;DB=1000546&amp;DocName=40USCAS8&amp;FindType=L" TargetMode="External"/><Relationship Id="rId51" Type="http://schemas.openxmlformats.org/officeDocument/2006/relationships/oleObject" Target="embeddings/oleObject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41393</CharactersWithSpaces>
  <SharedDoc>false</SharedDoc>
  <HLinks>
    <vt:vector size="216" baseType="variant">
      <vt:variant>
        <vt:i4>5767205</vt:i4>
      </vt:variant>
      <vt:variant>
        <vt:i4>123</vt:i4>
      </vt:variant>
      <vt:variant>
        <vt:i4>0</vt:i4>
      </vt:variant>
      <vt:variant>
        <vt:i4>5</vt:i4>
      </vt:variant>
      <vt:variant>
        <vt:lpwstr>http://www.westlaw.com/TOC/Default.wl?rs=dfa1.0&amp;vr=2.0&amp;DB=1000547&amp;DocName=40CFRS75.15&amp;FindType=VP&amp;ReferencePositionType=T&amp;ReferencePosition=SP_f383000077b35</vt:lpwstr>
      </vt:variant>
      <vt:variant>
        <vt:lpwstr/>
      </vt:variant>
      <vt:variant>
        <vt:i4>3473468</vt:i4>
      </vt:variant>
      <vt:variant>
        <vt:i4>108</vt:i4>
      </vt:variant>
      <vt:variant>
        <vt:i4>0</vt:i4>
      </vt:variant>
      <vt:variant>
        <vt:i4>5</vt:i4>
      </vt:variant>
      <vt:variant>
        <vt:lpwstr>http://www.westlaw.com/Find/Default.wl?rs=dfa1.0&amp;vr=2.0&amp;DB=1000546&amp;DocName=40USCAS3&amp;FindType=L</vt:lpwstr>
      </vt:variant>
      <vt:variant>
        <vt:lpwstr/>
      </vt:variant>
      <vt:variant>
        <vt:i4>3473468</vt:i4>
      </vt:variant>
      <vt:variant>
        <vt:i4>99</vt:i4>
      </vt:variant>
      <vt:variant>
        <vt:i4>0</vt:i4>
      </vt:variant>
      <vt:variant>
        <vt:i4>5</vt:i4>
      </vt:variant>
      <vt:variant>
        <vt:lpwstr>http://www.westlaw.com/Find/Default.wl?rs=dfa1.0&amp;vr=2.0&amp;DB=1000546&amp;DocName=40USCAS3&amp;FindType=L</vt:lpwstr>
      </vt:variant>
      <vt:variant>
        <vt:lpwstr/>
      </vt:variant>
      <vt:variant>
        <vt:i4>3473469</vt:i4>
      </vt:variant>
      <vt:variant>
        <vt:i4>96</vt:i4>
      </vt:variant>
      <vt:variant>
        <vt:i4>0</vt:i4>
      </vt:variant>
      <vt:variant>
        <vt:i4>5</vt:i4>
      </vt:variant>
      <vt:variant>
        <vt:lpwstr>http://www.westlaw.com/Find/Default.wl?rs=dfa1.0&amp;vr=2.0&amp;DB=1000546&amp;DocName=40USCAS2&amp;FindType=L</vt:lpwstr>
      </vt:variant>
      <vt:variant>
        <vt:lpwstr/>
      </vt:variant>
      <vt:variant>
        <vt:i4>3473470</vt:i4>
      </vt:variant>
      <vt:variant>
        <vt:i4>93</vt:i4>
      </vt:variant>
      <vt:variant>
        <vt:i4>0</vt:i4>
      </vt:variant>
      <vt:variant>
        <vt:i4>5</vt:i4>
      </vt:variant>
      <vt:variant>
        <vt:lpwstr>http://www.westlaw.com/Find/Default.wl?rs=dfa1.0&amp;vr=2.0&amp;DB=1000546&amp;DocName=40USCAS1&amp;FindType=L</vt:lpwstr>
      </vt:variant>
      <vt:variant>
        <vt:lpwstr/>
      </vt:variant>
      <vt:variant>
        <vt:i4>3473468</vt:i4>
      </vt:variant>
      <vt:variant>
        <vt:i4>90</vt:i4>
      </vt:variant>
      <vt:variant>
        <vt:i4>0</vt:i4>
      </vt:variant>
      <vt:variant>
        <vt:i4>5</vt:i4>
      </vt:variant>
      <vt:variant>
        <vt:lpwstr>http://www.westlaw.com/Find/Default.wl?rs=dfa1.0&amp;vr=2.0&amp;DB=1000546&amp;DocName=40USCAS3&amp;FindType=L</vt:lpwstr>
      </vt:variant>
      <vt:variant>
        <vt:lpwstr/>
      </vt:variant>
      <vt:variant>
        <vt:i4>1507414</vt:i4>
      </vt:variant>
      <vt:variant>
        <vt:i4>87</vt:i4>
      </vt:variant>
      <vt:variant>
        <vt:i4>0</vt:i4>
      </vt:variant>
      <vt:variant>
        <vt:i4>5</vt:i4>
      </vt:variant>
      <vt:variant>
        <vt:lpwstr>http://www.westlaw.com/TOC/Default.wl?rs=dfa1.0&amp;vr=2.0&amp;DB=1000547&amp;DocName=40CFRS10.1&amp;FindType=VP</vt:lpwstr>
      </vt:variant>
      <vt:variant>
        <vt:lpwstr/>
      </vt:variant>
      <vt:variant>
        <vt:i4>3473468</vt:i4>
      </vt:variant>
      <vt:variant>
        <vt:i4>84</vt:i4>
      </vt:variant>
      <vt:variant>
        <vt:i4>0</vt:i4>
      </vt:variant>
      <vt:variant>
        <vt:i4>5</vt:i4>
      </vt:variant>
      <vt:variant>
        <vt:lpwstr>http://www.westlaw.com/Find/Default.wl?rs=dfa1.0&amp;vr=2.0&amp;DB=1000546&amp;DocName=40USCAS3&amp;FindType=L</vt:lpwstr>
      </vt:variant>
      <vt:variant>
        <vt:lpwstr/>
      </vt:variant>
      <vt:variant>
        <vt:i4>3473469</vt:i4>
      </vt:variant>
      <vt:variant>
        <vt:i4>81</vt:i4>
      </vt:variant>
      <vt:variant>
        <vt:i4>0</vt:i4>
      </vt:variant>
      <vt:variant>
        <vt:i4>5</vt:i4>
      </vt:variant>
      <vt:variant>
        <vt:lpwstr>http://www.westlaw.com/Find/Default.wl?rs=dfa1.0&amp;vr=2.0&amp;DB=1000546&amp;DocName=40USCAS2&amp;FindType=L</vt:lpwstr>
      </vt:variant>
      <vt:variant>
        <vt:lpwstr/>
      </vt:variant>
      <vt:variant>
        <vt:i4>3473470</vt:i4>
      </vt:variant>
      <vt:variant>
        <vt:i4>78</vt:i4>
      </vt:variant>
      <vt:variant>
        <vt:i4>0</vt:i4>
      </vt:variant>
      <vt:variant>
        <vt:i4>5</vt:i4>
      </vt:variant>
      <vt:variant>
        <vt:lpwstr>http://www.westlaw.com/Find/Default.wl?rs=dfa1.0&amp;vr=2.0&amp;DB=1000546&amp;DocName=40USCAS1&amp;FindType=L</vt:lpwstr>
      </vt:variant>
      <vt:variant>
        <vt:lpwstr/>
      </vt:variant>
      <vt:variant>
        <vt:i4>3473463</vt:i4>
      </vt:variant>
      <vt:variant>
        <vt:i4>75</vt:i4>
      </vt:variant>
      <vt:variant>
        <vt:i4>0</vt:i4>
      </vt:variant>
      <vt:variant>
        <vt:i4>5</vt:i4>
      </vt:variant>
      <vt:variant>
        <vt:lpwstr>http://www.westlaw.com/Find/Default.wl?rs=dfa1.0&amp;vr=2.0&amp;DB=1000546&amp;DocName=40USCAS8&amp;FindType=L</vt:lpwstr>
      </vt:variant>
      <vt:variant>
        <vt:lpwstr/>
      </vt:variant>
      <vt:variant>
        <vt:i4>1507414</vt:i4>
      </vt:variant>
      <vt:variant>
        <vt:i4>72</vt:i4>
      </vt:variant>
      <vt:variant>
        <vt:i4>0</vt:i4>
      </vt:variant>
      <vt:variant>
        <vt:i4>5</vt:i4>
      </vt:variant>
      <vt:variant>
        <vt:lpwstr>http://www.westlaw.com/TOC/Default.wl?rs=dfa1.0&amp;vr=2.0&amp;DB=1000547&amp;DocName=40CFRS10.1&amp;FindType=VP</vt:lpwstr>
      </vt:variant>
      <vt:variant>
        <vt:lpwstr/>
      </vt:variant>
      <vt:variant>
        <vt:i4>1376342</vt:i4>
      </vt:variant>
      <vt:variant>
        <vt:i4>69</vt:i4>
      </vt:variant>
      <vt:variant>
        <vt:i4>0</vt:i4>
      </vt:variant>
      <vt:variant>
        <vt:i4>5</vt:i4>
      </vt:variant>
      <vt:variant>
        <vt:lpwstr>http://www.westlaw.com/TOC/Default.wl?rs=dfa1.0&amp;vr=2.0&amp;DB=1000547&amp;DocName=40CFRS10.3&amp;FindType=VP</vt:lpwstr>
      </vt:variant>
      <vt:variant>
        <vt:lpwstr/>
      </vt:variant>
      <vt:variant>
        <vt:i4>6881336</vt:i4>
      </vt:variant>
      <vt:variant>
        <vt:i4>66</vt:i4>
      </vt:variant>
      <vt:variant>
        <vt:i4>0</vt:i4>
      </vt:variant>
      <vt:variant>
        <vt:i4>5</vt:i4>
      </vt:variant>
      <vt:variant>
        <vt:lpwstr>http://www.westlaw.com/Find/Default.wl?rs=dfa1.0&amp;vr=2.0&amp;DB=1000546&amp;DocName=40USCAS16&amp;FindType=L</vt:lpwstr>
      </vt:variant>
      <vt:variant>
        <vt:lpwstr/>
      </vt:variant>
      <vt:variant>
        <vt:i4>6881336</vt:i4>
      </vt:variant>
      <vt:variant>
        <vt:i4>63</vt:i4>
      </vt:variant>
      <vt:variant>
        <vt:i4>0</vt:i4>
      </vt:variant>
      <vt:variant>
        <vt:i4>5</vt:i4>
      </vt:variant>
      <vt:variant>
        <vt:lpwstr>http://www.westlaw.com/Find/Default.wl?rs=dfa1.0&amp;vr=2.0&amp;DB=1000546&amp;DocName=40USCAS16&amp;FindType=L</vt:lpwstr>
      </vt:variant>
      <vt:variant>
        <vt:lpwstr/>
      </vt:variant>
      <vt:variant>
        <vt:i4>5767205</vt:i4>
      </vt:variant>
      <vt:variant>
        <vt:i4>60</vt:i4>
      </vt:variant>
      <vt:variant>
        <vt:i4>0</vt:i4>
      </vt:variant>
      <vt:variant>
        <vt:i4>5</vt:i4>
      </vt:variant>
      <vt:variant>
        <vt:lpwstr>http://www.westlaw.com/TOC/Default.wl?rs=dfa1.0&amp;vr=2.0&amp;DB=1000547&amp;DocName=40CFRS75.15&amp;FindType=VP&amp;ReferencePositionType=T&amp;ReferencePosition=SP_f383000077b35</vt:lpwstr>
      </vt:variant>
      <vt:variant>
        <vt:lpwstr/>
      </vt:variant>
      <vt:variant>
        <vt:i4>262176</vt:i4>
      </vt:variant>
      <vt:variant>
        <vt:i4>57</vt:i4>
      </vt:variant>
      <vt:variant>
        <vt:i4>0</vt:i4>
      </vt:variant>
      <vt:variant>
        <vt:i4>5</vt:i4>
      </vt:variant>
      <vt:variant>
        <vt:lpwstr>http://www.westlaw.com/TOC/Default.wl?rs=dfa1.0&amp;vr=2.0&amp;DB=1000547&amp;DocName=40CFRS75.20&amp;FindType=VP&amp;ReferencePositionType=T&amp;ReferencePosition=SP_4b24000003ba5</vt:lpwstr>
      </vt:variant>
      <vt:variant>
        <vt:lpwstr/>
      </vt:variant>
      <vt:variant>
        <vt:i4>1179665</vt:i4>
      </vt:variant>
      <vt:variant>
        <vt:i4>54</vt:i4>
      </vt:variant>
      <vt:variant>
        <vt:i4>0</vt:i4>
      </vt:variant>
      <vt:variant>
        <vt:i4>5</vt:i4>
      </vt:variant>
      <vt:variant>
        <vt:lpwstr>http://www.westlaw.com/TOC/Default.wl?rs=dfa1.0&amp;vr=2.0&amp;DB=1000547&amp;DocName=40CFRS75.11&amp;FindType=VP</vt:lpwstr>
      </vt:variant>
      <vt:variant>
        <vt:lpwstr/>
      </vt:variant>
      <vt:variant>
        <vt:i4>5242992</vt:i4>
      </vt:variant>
      <vt:variant>
        <vt:i4>51</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7209016</vt:i4>
      </vt:variant>
      <vt:variant>
        <vt:i4>48</vt:i4>
      </vt:variant>
      <vt:variant>
        <vt:i4>0</vt:i4>
      </vt:variant>
      <vt:variant>
        <vt:i4>5</vt:i4>
      </vt:variant>
      <vt:variant>
        <vt:lpwstr>http://www.westlaw.com/Find/Default.wl?rs=dfa1.0&amp;vr=2.0&amp;DB=1000546&amp;DocName=40USCAS11&amp;FindType=L</vt:lpwstr>
      </vt:variant>
      <vt:variant>
        <vt:lpwstr/>
      </vt:variant>
      <vt:variant>
        <vt:i4>3473468</vt:i4>
      </vt:variant>
      <vt:variant>
        <vt:i4>45</vt:i4>
      </vt:variant>
      <vt:variant>
        <vt:i4>0</vt:i4>
      </vt:variant>
      <vt:variant>
        <vt:i4>5</vt:i4>
      </vt:variant>
      <vt:variant>
        <vt:lpwstr>http://www.westlaw.com/Find/Default.wl?rs=dfa1.0&amp;vr=2.0&amp;DB=1000546&amp;DocName=40USCAS3&amp;FindType=L</vt:lpwstr>
      </vt:variant>
      <vt:variant>
        <vt:lpwstr/>
      </vt:variant>
      <vt:variant>
        <vt:i4>3473468</vt:i4>
      </vt:variant>
      <vt:variant>
        <vt:i4>42</vt:i4>
      </vt:variant>
      <vt:variant>
        <vt:i4>0</vt:i4>
      </vt:variant>
      <vt:variant>
        <vt:i4>5</vt:i4>
      </vt:variant>
      <vt:variant>
        <vt:lpwstr>http://www.westlaw.com/Find/Default.wl?rs=dfa1.0&amp;vr=2.0&amp;DB=1000546&amp;DocName=40USCAS3&amp;FindType=L</vt:lpwstr>
      </vt:variant>
      <vt:variant>
        <vt:lpwstr/>
      </vt:variant>
      <vt:variant>
        <vt:i4>3473470</vt:i4>
      </vt:variant>
      <vt:variant>
        <vt:i4>39</vt:i4>
      </vt:variant>
      <vt:variant>
        <vt:i4>0</vt:i4>
      </vt:variant>
      <vt:variant>
        <vt:i4>5</vt:i4>
      </vt:variant>
      <vt:variant>
        <vt:lpwstr>http://www.westlaw.com/Find/Default.wl?rs=dfa1.0&amp;vr=2.0&amp;DB=1000546&amp;DocName=40USCAS1&amp;FindType=L</vt:lpwstr>
      </vt:variant>
      <vt:variant>
        <vt:lpwstr/>
      </vt:variant>
      <vt:variant>
        <vt:i4>3473468</vt:i4>
      </vt:variant>
      <vt:variant>
        <vt:i4>36</vt:i4>
      </vt:variant>
      <vt:variant>
        <vt:i4>0</vt:i4>
      </vt:variant>
      <vt:variant>
        <vt:i4>5</vt:i4>
      </vt:variant>
      <vt:variant>
        <vt:lpwstr>http://www.westlaw.com/Find/Default.wl?rs=dfa1.0&amp;vr=2.0&amp;DB=1000546&amp;DocName=40USCAS3&amp;FindType=L</vt:lpwstr>
      </vt:variant>
      <vt:variant>
        <vt:lpwstr/>
      </vt:variant>
      <vt:variant>
        <vt:i4>1441878</vt:i4>
      </vt:variant>
      <vt:variant>
        <vt:i4>33</vt:i4>
      </vt:variant>
      <vt:variant>
        <vt:i4>0</vt:i4>
      </vt:variant>
      <vt:variant>
        <vt:i4>5</vt:i4>
      </vt:variant>
      <vt:variant>
        <vt:lpwstr>http://www.westlaw.com/TOC/Default.wl?rs=dfa1.0&amp;vr=2.0&amp;DB=1000547&amp;DocName=40CFRS11.1&amp;FindType=VP</vt:lpwstr>
      </vt:variant>
      <vt:variant>
        <vt:lpwstr/>
      </vt:variant>
      <vt:variant>
        <vt:i4>3473470</vt:i4>
      </vt:variant>
      <vt:variant>
        <vt:i4>30</vt:i4>
      </vt:variant>
      <vt:variant>
        <vt:i4>0</vt:i4>
      </vt:variant>
      <vt:variant>
        <vt:i4>5</vt:i4>
      </vt:variant>
      <vt:variant>
        <vt:lpwstr>http://www.westlaw.com/Find/Default.wl?rs=dfa1.0&amp;vr=2.0&amp;DB=1000546&amp;DocName=40USCAS1&amp;FindType=L</vt:lpwstr>
      </vt:variant>
      <vt:variant>
        <vt:lpwstr/>
      </vt:variant>
      <vt:variant>
        <vt:i4>3473468</vt:i4>
      </vt:variant>
      <vt:variant>
        <vt:i4>27</vt:i4>
      </vt:variant>
      <vt:variant>
        <vt:i4>0</vt:i4>
      </vt:variant>
      <vt:variant>
        <vt:i4>5</vt:i4>
      </vt:variant>
      <vt:variant>
        <vt:lpwstr>http://www.westlaw.com/Find/Default.wl?rs=dfa1.0&amp;vr=2.0&amp;DB=1000546&amp;DocName=40USCAS3&amp;FindType=L</vt:lpwstr>
      </vt:variant>
      <vt:variant>
        <vt:lpwstr/>
      </vt:variant>
      <vt:variant>
        <vt:i4>3473463</vt:i4>
      </vt:variant>
      <vt:variant>
        <vt:i4>24</vt:i4>
      </vt:variant>
      <vt:variant>
        <vt:i4>0</vt:i4>
      </vt:variant>
      <vt:variant>
        <vt:i4>5</vt:i4>
      </vt:variant>
      <vt:variant>
        <vt:lpwstr>http://www.westlaw.com/Find/Default.wl?rs=dfa1.0&amp;vr=2.0&amp;DB=1000546&amp;DocName=40USCAS8&amp;FindType=L</vt:lpwstr>
      </vt:variant>
      <vt:variant>
        <vt:lpwstr/>
      </vt:variant>
      <vt:variant>
        <vt:i4>3473468</vt:i4>
      </vt:variant>
      <vt:variant>
        <vt:i4>21</vt:i4>
      </vt:variant>
      <vt:variant>
        <vt:i4>0</vt:i4>
      </vt:variant>
      <vt:variant>
        <vt:i4>5</vt:i4>
      </vt:variant>
      <vt:variant>
        <vt:lpwstr>http://www.westlaw.com/Find/Default.wl?rs=dfa1.0&amp;vr=2.0&amp;DB=1000546&amp;DocName=40USCAS3&amp;FindType=L</vt:lpwstr>
      </vt:variant>
      <vt:variant>
        <vt:lpwstr/>
      </vt:variant>
      <vt:variant>
        <vt:i4>3473463</vt:i4>
      </vt:variant>
      <vt:variant>
        <vt:i4>18</vt:i4>
      </vt:variant>
      <vt:variant>
        <vt:i4>0</vt:i4>
      </vt:variant>
      <vt:variant>
        <vt:i4>5</vt:i4>
      </vt:variant>
      <vt:variant>
        <vt:lpwstr>http://www.westlaw.com/Find/Default.wl?rs=dfa1.0&amp;vr=2.0&amp;DB=1000546&amp;DocName=40USCAS8&amp;FindType=L</vt:lpwstr>
      </vt:variant>
      <vt:variant>
        <vt:lpwstr/>
      </vt:variant>
      <vt:variant>
        <vt:i4>3473468</vt:i4>
      </vt:variant>
      <vt:variant>
        <vt:i4>15</vt:i4>
      </vt:variant>
      <vt:variant>
        <vt:i4>0</vt:i4>
      </vt:variant>
      <vt:variant>
        <vt:i4>5</vt:i4>
      </vt:variant>
      <vt:variant>
        <vt:lpwstr>http://www.westlaw.com/Find/Default.wl?rs=dfa1.0&amp;vr=2.0&amp;DB=1000546&amp;DocName=40USCAS3&amp;FindType=L</vt:lpwstr>
      </vt:variant>
      <vt:variant>
        <vt:lpwstr/>
      </vt:variant>
      <vt:variant>
        <vt:i4>3473469</vt:i4>
      </vt:variant>
      <vt:variant>
        <vt:i4>12</vt:i4>
      </vt:variant>
      <vt:variant>
        <vt:i4>0</vt:i4>
      </vt:variant>
      <vt:variant>
        <vt:i4>5</vt:i4>
      </vt:variant>
      <vt:variant>
        <vt:lpwstr>http://www.westlaw.com/Find/Default.wl?rs=dfa1.0&amp;vr=2.0&amp;DB=1000546&amp;DocName=40USCAS2&amp;FindType=L</vt:lpwstr>
      </vt:variant>
      <vt:variant>
        <vt:lpwstr/>
      </vt:variant>
      <vt:variant>
        <vt:i4>3473470</vt:i4>
      </vt:variant>
      <vt:variant>
        <vt:i4>9</vt:i4>
      </vt:variant>
      <vt:variant>
        <vt:i4>0</vt:i4>
      </vt:variant>
      <vt:variant>
        <vt:i4>5</vt:i4>
      </vt:variant>
      <vt:variant>
        <vt:lpwstr>http://www.westlaw.com/Find/Default.wl?rs=dfa1.0&amp;vr=2.0&amp;DB=1000546&amp;DocName=40USCAS1&amp;FindType=L</vt:lpwstr>
      </vt:variant>
      <vt:variant>
        <vt:lpwstr/>
      </vt:variant>
      <vt:variant>
        <vt:i4>5242992</vt:i4>
      </vt:variant>
      <vt:variant>
        <vt:i4>6</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3473463</vt:i4>
      </vt:variant>
      <vt:variant>
        <vt:i4>3</vt:i4>
      </vt:variant>
      <vt:variant>
        <vt:i4>0</vt:i4>
      </vt:variant>
      <vt:variant>
        <vt:i4>5</vt:i4>
      </vt:variant>
      <vt:variant>
        <vt:lpwstr>http://www.westlaw.com/Find/Default.wl?rs=dfa1.0&amp;vr=2.0&amp;DB=1000546&amp;DocName=40USCAS8&amp;FindType=L</vt:lpwstr>
      </vt:variant>
      <vt:variant>
        <vt:lpwstr/>
      </vt:variant>
      <vt:variant>
        <vt:i4>7340141</vt:i4>
      </vt:variant>
      <vt:variant>
        <vt:i4>0</vt:i4>
      </vt:variant>
      <vt:variant>
        <vt:i4>0</vt:i4>
      </vt:variant>
      <vt:variant>
        <vt:i4>5</vt:i4>
      </vt:variant>
      <vt:variant>
        <vt:lpwstr>http://www.westlaw.com/Find/Default.wl?rs=dfa1.0&amp;vr=2.0&amp;DB=CFR&amp;DocName=LK%2840CFRPT75APPK%29&amp;FindType=l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Roberts, John</cp:lastModifiedBy>
  <cp:revision>3</cp:revision>
  <dcterms:created xsi:type="dcterms:W3CDTF">2012-06-21T19:48:00Z</dcterms:created>
  <dcterms:modified xsi:type="dcterms:W3CDTF">2012-06-21T19:48:00Z</dcterms:modified>
</cp:coreProperties>
</file>