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94" w:rsidRDefault="00C33494" w:rsidP="00C334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3494" w:rsidRDefault="00C33494" w:rsidP="00C33494">
      <w:pPr>
        <w:widowControl w:val="0"/>
        <w:autoSpaceDE w:val="0"/>
        <w:autoSpaceDN w:val="0"/>
        <w:adjustRightInd w:val="0"/>
        <w:jc w:val="center"/>
      </w:pPr>
      <w:r>
        <w:t>PART 254</w:t>
      </w:r>
    </w:p>
    <w:p w:rsidR="00C33494" w:rsidRDefault="00C33494" w:rsidP="00C33494">
      <w:pPr>
        <w:widowControl w:val="0"/>
        <w:autoSpaceDE w:val="0"/>
        <w:autoSpaceDN w:val="0"/>
        <w:adjustRightInd w:val="0"/>
        <w:jc w:val="center"/>
      </w:pPr>
      <w:r>
        <w:t>ANNUAL EMISSIONS REPORT</w:t>
      </w:r>
    </w:p>
    <w:sectPr w:rsidR="00C33494" w:rsidSect="00C334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3494"/>
    <w:rsid w:val="001C681B"/>
    <w:rsid w:val="0044045F"/>
    <w:rsid w:val="005C3366"/>
    <w:rsid w:val="00C33494"/>
    <w:rsid w:val="00C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254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254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