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EC" w:rsidRDefault="00A466EC" w:rsidP="00A466EC">
      <w:pPr>
        <w:widowControl w:val="0"/>
        <w:autoSpaceDE w:val="0"/>
        <w:autoSpaceDN w:val="0"/>
        <w:adjustRightInd w:val="0"/>
      </w:pPr>
      <w:bookmarkStart w:id="0" w:name="_GoBack"/>
      <w:bookmarkEnd w:id="0"/>
    </w:p>
    <w:p w:rsidR="00A466EC" w:rsidRDefault="00A466EC" w:rsidP="00A466EC">
      <w:pPr>
        <w:widowControl w:val="0"/>
        <w:autoSpaceDE w:val="0"/>
        <w:autoSpaceDN w:val="0"/>
        <w:adjustRightInd w:val="0"/>
      </w:pPr>
      <w:r>
        <w:rPr>
          <w:b/>
          <w:bCs/>
        </w:rPr>
        <w:t>Section 266.100  Introduction</w:t>
      </w:r>
      <w:r>
        <w:t xml:space="preserve"> </w:t>
      </w:r>
    </w:p>
    <w:p w:rsidR="00A466EC" w:rsidRDefault="00A466EC" w:rsidP="00A466EC">
      <w:pPr>
        <w:widowControl w:val="0"/>
        <w:autoSpaceDE w:val="0"/>
        <w:autoSpaceDN w:val="0"/>
        <w:adjustRightInd w:val="0"/>
      </w:pPr>
    </w:p>
    <w:p w:rsidR="00A466EC" w:rsidRDefault="00A466EC" w:rsidP="00A466EC">
      <w:pPr>
        <w:widowControl w:val="0"/>
        <w:autoSpaceDE w:val="0"/>
        <w:autoSpaceDN w:val="0"/>
        <w:adjustRightInd w:val="0"/>
      </w:pPr>
      <w:r>
        <w:t xml:space="preserve">Particulate emission standards and limitations for new process emission sources are contained in 35 Ill. Adm. Code 212.321 and for sources existing as of April 14, 1972 at 35 Ill. Adm. Code 212.322.  To determine whether source emissions exceed the allowable emission rates under either of these sections, the process weight rate must be known. </w:t>
      </w:r>
    </w:p>
    <w:sectPr w:rsidR="00A466EC" w:rsidSect="00A466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6EC"/>
    <w:rsid w:val="003E0436"/>
    <w:rsid w:val="005C3366"/>
    <w:rsid w:val="00802866"/>
    <w:rsid w:val="009C36E9"/>
    <w:rsid w:val="00A4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266</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