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DE" w:rsidRDefault="009A78DE" w:rsidP="009A78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8DE" w:rsidRDefault="009A78DE" w:rsidP="009A78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266.120  Process Weight Rate for Conveying Operations</w:t>
      </w:r>
      <w:r>
        <w:t xml:space="preserve"> </w:t>
      </w:r>
    </w:p>
    <w:p w:rsidR="009A78DE" w:rsidRDefault="009A78DE" w:rsidP="009A78DE">
      <w:pPr>
        <w:widowControl w:val="0"/>
        <w:autoSpaceDE w:val="0"/>
        <w:autoSpaceDN w:val="0"/>
        <w:adjustRightInd w:val="0"/>
      </w:pPr>
    </w:p>
    <w:p w:rsidR="009A78DE" w:rsidRDefault="009A78DE" w:rsidP="009A78DE">
      <w:pPr>
        <w:widowControl w:val="0"/>
        <w:autoSpaceDE w:val="0"/>
        <w:autoSpaceDN w:val="0"/>
        <w:adjustRightInd w:val="0"/>
      </w:pPr>
      <w:r>
        <w:t xml:space="preserve">Items of equipment used to classify or to separate materials in conveying operations are considered emission sources, not control equipment. </w:t>
      </w:r>
    </w:p>
    <w:p w:rsidR="003301C6" w:rsidRDefault="003301C6" w:rsidP="009A78DE">
      <w:pPr>
        <w:widowControl w:val="0"/>
        <w:autoSpaceDE w:val="0"/>
        <w:autoSpaceDN w:val="0"/>
        <w:adjustRightInd w:val="0"/>
      </w:pPr>
    </w:p>
    <w:p w:rsidR="009A78DE" w:rsidRDefault="009A78DE" w:rsidP="009A78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process weight rate for conveying operations using fluid conveyors is calculated by using the weight of material being conveyed; water, air or other transport media is not included. </w:t>
      </w:r>
    </w:p>
    <w:p w:rsidR="003301C6" w:rsidRDefault="003301C6" w:rsidP="009A78DE">
      <w:pPr>
        <w:widowControl w:val="0"/>
        <w:autoSpaceDE w:val="0"/>
        <w:autoSpaceDN w:val="0"/>
        <w:adjustRightInd w:val="0"/>
        <w:ind w:left="1440" w:hanging="720"/>
      </w:pPr>
    </w:p>
    <w:p w:rsidR="009A78DE" w:rsidRDefault="009A78DE" w:rsidP="009A78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process weight rate for conveying operations using belts, screws, etc., is calculated by using the weight of the material being conveyed. </w:t>
      </w:r>
    </w:p>
    <w:sectPr w:rsidR="009A78DE" w:rsidSect="009A7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8DE"/>
    <w:rsid w:val="003301C6"/>
    <w:rsid w:val="005C3366"/>
    <w:rsid w:val="0074782B"/>
    <w:rsid w:val="009A78DE"/>
    <w:rsid w:val="00CC7F1C"/>
    <w:rsid w:val="00D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