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5658" w14:textId="77777777" w:rsidR="009E75AF" w:rsidRDefault="009E75AF" w:rsidP="009E75AF">
      <w:pPr>
        <w:widowControl w:val="0"/>
        <w:autoSpaceDE w:val="0"/>
        <w:autoSpaceDN w:val="0"/>
        <w:adjustRightInd w:val="0"/>
      </w:pPr>
    </w:p>
    <w:p w14:paraId="334C2BB6" w14:textId="77777777" w:rsidR="009E75AF" w:rsidRDefault="009E75AF" w:rsidP="009E75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301.105  References to Other Sections</w:t>
      </w:r>
      <w:r>
        <w:t xml:space="preserve"> </w:t>
      </w:r>
      <w:r w:rsidR="00D40E7E" w:rsidRPr="00D40E7E">
        <w:rPr>
          <w:b/>
          <w:bCs/>
        </w:rPr>
        <w:t>(Repealed)</w:t>
      </w:r>
    </w:p>
    <w:p w14:paraId="7D97DE9A" w14:textId="77777777" w:rsidR="00574775" w:rsidRDefault="00574775" w:rsidP="009E75AF">
      <w:pPr>
        <w:widowControl w:val="0"/>
        <w:autoSpaceDE w:val="0"/>
        <w:autoSpaceDN w:val="0"/>
        <w:adjustRightInd w:val="0"/>
      </w:pPr>
    </w:p>
    <w:p w14:paraId="4643BC53" w14:textId="6F420F76" w:rsidR="009E75AF" w:rsidRDefault="00D40E7E" w:rsidP="00D40E7E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614DCD">
        <w:t>7</w:t>
      </w:r>
      <w:r>
        <w:t xml:space="preserve"> Ill. Reg. </w:t>
      </w:r>
      <w:r w:rsidR="003B2D47">
        <w:t>4415</w:t>
      </w:r>
      <w:r>
        <w:t xml:space="preserve">, effective </w:t>
      </w:r>
      <w:r w:rsidR="003B2D47">
        <w:t>March 23, 2023</w:t>
      </w:r>
      <w:r>
        <w:t>)</w:t>
      </w:r>
    </w:p>
    <w:sectPr w:rsidR="009E75AF" w:rsidSect="009E75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75AF"/>
    <w:rsid w:val="002C7043"/>
    <w:rsid w:val="003B2D47"/>
    <w:rsid w:val="00574775"/>
    <w:rsid w:val="005C3366"/>
    <w:rsid w:val="00614DCD"/>
    <w:rsid w:val="009E75AF"/>
    <w:rsid w:val="00AC6B45"/>
    <w:rsid w:val="00CE0FA2"/>
    <w:rsid w:val="00D40E7E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3919B5"/>
  <w15:docId w15:val="{1DC280FC-60B3-4A78-B050-E1AC0A79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