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0A72" w14:textId="77777777" w:rsidR="005D37B9" w:rsidRDefault="005D37B9" w:rsidP="005D37B9">
      <w:pPr>
        <w:widowControl w:val="0"/>
        <w:autoSpaceDE w:val="0"/>
        <w:autoSpaceDN w:val="0"/>
        <w:adjustRightInd w:val="0"/>
      </w:pPr>
    </w:p>
    <w:p w14:paraId="133982DF" w14:textId="77777777" w:rsidR="005D37B9" w:rsidRDefault="005D37B9" w:rsidP="005D37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301.411  Total Maximum Daily Load</w:t>
      </w:r>
      <w:r>
        <w:t xml:space="preserve"> </w:t>
      </w:r>
    </w:p>
    <w:p w14:paraId="205E62C1" w14:textId="77777777" w:rsidR="005D37B9" w:rsidRDefault="005D37B9" w:rsidP="005D37B9">
      <w:pPr>
        <w:widowControl w:val="0"/>
        <w:autoSpaceDE w:val="0"/>
        <w:autoSpaceDN w:val="0"/>
        <w:adjustRightInd w:val="0"/>
      </w:pPr>
    </w:p>
    <w:p w14:paraId="5FFF535D" w14:textId="77777777" w:rsidR="005D37B9" w:rsidRDefault="00F5043C" w:rsidP="005D37B9">
      <w:pPr>
        <w:widowControl w:val="0"/>
        <w:autoSpaceDE w:val="0"/>
        <w:autoSpaceDN w:val="0"/>
        <w:adjustRightInd w:val="0"/>
      </w:pPr>
      <w:r>
        <w:t>"</w:t>
      </w:r>
      <w:r w:rsidR="005D37B9">
        <w:t>Total Maximum Daily Load</w:t>
      </w:r>
      <w:r>
        <w:t>"</w:t>
      </w:r>
      <w:r w:rsidR="005D37B9">
        <w:t xml:space="preserve"> or </w:t>
      </w:r>
      <w:r>
        <w:t>"</w:t>
      </w:r>
      <w:r w:rsidR="005D37B9">
        <w:t>TMDL</w:t>
      </w:r>
      <w:r>
        <w:t>"</w:t>
      </w:r>
      <w:r w:rsidR="005D37B9">
        <w:t xml:space="preserve"> is the sum of the individual wasteload allocations for point sources and load allocations for nonpoint sources and natural background, as more fully defined at 40 CFR 130.2(i).  A TMDL sets and allocates the maximum amount of a pollutant that may be introduced into a water body and still assure attainment and maintenance of water quality standards. </w:t>
      </w:r>
    </w:p>
    <w:p w14:paraId="612DFB0A" w14:textId="77777777" w:rsidR="005D37B9" w:rsidRDefault="005D37B9" w:rsidP="005D37B9">
      <w:pPr>
        <w:widowControl w:val="0"/>
        <w:autoSpaceDE w:val="0"/>
        <w:autoSpaceDN w:val="0"/>
        <w:adjustRightInd w:val="0"/>
      </w:pPr>
    </w:p>
    <w:p w14:paraId="3C0489D2" w14:textId="7E89D34E" w:rsidR="005D37B9" w:rsidRDefault="002F38A8" w:rsidP="005D37B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3577C">
        <w:t>7</w:t>
      </w:r>
      <w:r>
        <w:t xml:space="preserve"> Ill. Reg. </w:t>
      </w:r>
      <w:r w:rsidR="00556D0C">
        <w:t>4415</w:t>
      </w:r>
      <w:r>
        <w:t xml:space="preserve">, effective </w:t>
      </w:r>
      <w:r w:rsidR="00556D0C">
        <w:t>March 23, 2023</w:t>
      </w:r>
      <w:r>
        <w:t>)</w:t>
      </w:r>
    </w:p>
    <w:sectPr w:rsidR="005D37B9" w:rsidSect="005D3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7B9"/>
    <w:rsid w:val="002F38A8"/>
    <w:rsid w:val="00556D0C"/>
    <w:rsid w:val="005C3366"/>
    <w:rsid w:val="005D37B9"/>
    <w:rsid w:val="00805125"/>
    <w:rsid w:val="008166CC"/>
    <w:rsid w:val="00942B56"/>
    <w:rsid w:val="00F11354"/>
    <w:rsid w:val="00F3577C"/>
    <w:rsid w:val="00F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5F7AE9"/>
  <w15:docId w15:val="{A3C8540C-6686-4539-94A1-EE81DEF0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