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5EA9" w14:textId="77777777" w:rsidR="009D06CE" w:rsidRDefault="009D06CE" w:rsidP="009D06CE">
      <w:pPr>
        <w:widowControl w:val="0"/>
        <w:autoSpaceDE w:val="0"/>
        <w:autoSpaceDN w:val="0"/>
        <w:adjustRightInd w:val="0"/>
      </w:pPr>
    </w:p>
    <w:p w14:paraId="55D33D81" w14:textId="77777777" w:rsidR="009D06CE" w:rsidRDefault="009D06CE" w:rsidP="009D06CE">
      <w:pPr>
        <w:widowControl w:val="0"/>
        <w:autoSpaceDE w:val="0"/>
        <w:autoSpaceDN w:val="0"/>
        <w:adjustRightInd w:val="0"/>
      </w:pPr>
      <w:r>
        <w:rPr>
          <w:b/>
          <w:bCs/>
        </w:rPr>
        <w:t xml:space="preserve">Section </w:t>
      </w:r>
      <w:proofErr w:type="gramStart"/>
      <w:r>
        <w:rPr>
          <w:b/>
          <w:bCs/>
        </w:rPr>
        <w:t>302.211  Temperature</w:t>
      </w:r>
      <w:proofErr w:type="gramEnd"/>
      <w:r>
        <w:t xml:space="preserve"> </w:t>
      </w:r>
    </w:p>
    <w:p w14:paraId="4A55E0F8" w14:textId="715F6D08" w:rsidR="00B14719" w:rsidRDefault="00B14719" w:rsidP="003B166C">
      <w:pPr>
        <w:widowControl w:val="0"/>
        <w:autoSpaceDE w:val="0"/>
        <w:autoSpaceDN w:val="0"/>
        <w:adjustRightInd w:val="0"/>
      </w:pPr>
    </w:p>
    <w:p w14:paraId="5BA46DAC" w14:textId="2203D16F" w:rsidR="009D06CE" w:rsidRDefault="00773D67" w:rsidP="009D06CE">
      <w:pPr>
        <w:widowControl w:val="0"/>
        <w:autoSpaceDE w:val="0"/>
        <w:autoSpaceDN w:val="0"/>
        <w:adjustRightInd w:val="0"/>
        <w:ind w:left="1440" w:hanging="720"/>
      </w:pPr>
      <w:r>
        <w:t>a</w:t>
      </w:r>
      <w:r w:rsidR="009D06CE">
        <w:t>)</w:t>
      </w:r>
      <w:r w:rsidR="009D06CE">
        <w:tab/>
        <w:t xml:space="preserve">There </w:t>
      </w:r>
      <w:r>
        <w:t>must not</w:t>
      </w:r>
      <w:r w:rsidR="009D06CE">
        <w:t xml:space="preserve"> be abnormal temperature changes that may adversely affect aquatic life unless caused by natural conditions. </w:t>
      </w:r>
    </w:p>
    <w:p w14:paraId="4E1048AF" w14:textId="77777777" w:rsidR="00B14719" w:rsidRDefault="00B14719" w:rsidP="003B166C">
      <w:pPr>
        <w:widowControl w:val="0"/>
        <w:autoSpaceDE w:val="0"/>
        <w:autoSpaceDN w:val="0"/>
        <w:adjustRightInd w:val="0"/>
      </w:pPr>
    </w:p>
    <w:p w14:paraId="61C13C50" w14:textId="5A9F2EE6" w:rsidR="009D06CE" w:rsidRDefault="00773D67" w:rsidP="009D06CE">
      <w:pPr>
        <w:widowControl w:val="0"/>
        <w:autoSpaceDE w:val="0"/>
        <w:autoSpaceDN w:val="0"/>
        <w:adjustRightInd w:val="0"/>
        <w:ind w:left="1440" w:hanging="720"/>
      </w:pPr>
      <w:r>
        <w:t>b</w:t>
      </w:r>
      <w:r w:rsidR="009D06CE">
        <w:t>)</w:t>
      </w:r>
      <w:r w:rsidR="009D06CE">
        <w:tab/>
        <w:t xml:space="preserve">The normal daily and seasonal temperature fluctuations </w:t>
      </w:r>
      <w:r w:rsidR="00181FA4">
        <w:t>that</w:t>
      </w:r>
      <w:r w:rsidR="009D06CE">
        <w:t xml:space="preserve"> existed before the addition of heat due to other than natural causes </w:t>
      </w:r>
      <w:r>
        <w:t>must</w:t>
      </w:r>
      <w:r w:rsidR="009D06CE">
        <w:t xml:space="preserve"> be maintained. </w:t>
      </w:r>
    </w:p>
    <w:p w14:paraId="4D33A1A1" w14:textId="77777777" w:rsidR="00B14719" w:rsidRDefault="00B14719" w:rsidP="003B166C">
      <w:pPr>
        <w:widowControl w:val="0"/>
        <w:autoSpaceDE w:val="0"/>
        <w:autoSpaceDN w:val="0"/>
        <w:adjustRightInd w:val="0"/>
      </w:pPr>
    </w:p>
    <w:p w14:paraId="50CC6BCA" w14:textId="00FB4B95" w:rsidR="009D06CE" w:rsidRDefault="00773D67" w:rsidP="009D06CE">
      <w:pPr>
        <w:widowControl w:val="0"/>
        <w:autoSpaceDE w:val="0"/>
        <w:autoSpaceDN w:val="0"/>
        <w:adjustRightInd w:val="0"/>
        <w:ind w:left="1440" w:hanging="720"/>
      </w:pPr>
      <w:r>
        <w:t>c</w:t>
      </w:r>
      <w:r w:rsidR="009D06CE">
        <w:t>)</w:t>
      </w:r>
      <w:r w:rsidR="009D06CE">
        <w:tab/>
        <w:t xml:space="preserve">The maximum temperature rise above natural temperatures </w:t>
      </w:r>
      <w:r>
        <w:t>must</w:t>
      </w:r>
      <w:r w:rsidR="009D06CE">
        <w:t xml:space="preserve"> not exceed 2.8 </w:t>
      </w:r>
      <w:r w:rsidR="00E4302D">
        <w:t>°</w:t>
      </w:r>
      <w:r w:rsidR="009D06CE">
        <w:t>C (5</w:t>
      </w:r>
      <w:r w:rsidR="00E4302D">
        <w:t xml:space="preserve"> </w:t>
      </w:r>
      <w:r w:rsidR="00836514">
        <w:t>º</w:t>
      </w:r>
      <w:r w:rsidR="009D06CE">
        <w:t xml:space="preserve">F). </w:t>
      </w:r>
    </w:p>
    <w:p w14:paraId="4D4FF71A" w14:textId="77777777" w:rsidR="00B14719" w:rsidRDefault="00B14719" w:rsidP="003B166C">
      <w:pPr>
        <w:widowControl w:val="0"/>
        <w:autoSpaceDE w:val="0"/>
        <w:autoSpaceDN w:val="0"/>
        <w:adjustRightInd w:val="0"/>
      </w:pPr>
    </w:p>
    <w:p w14:paraId="0FC78EAB" w14:textId="10C9F204" w:rsidR="009D06CE" w:rsidRDefault="00773D67" w:rsidP="009D06CE">
      <w:pPr>
        <w:widowControl w:val="0"/>
        <w:autoSpaceDE w:val="0"/>
        <w:autoSpaceDN w:val="0"/>
        <w:adjustRightInd w:val="0"/>
        <w:ind w:left="1440" w:hanging="720"/>
      </w:pPr>
      <w:r>
        <w:t>d</w:t>
      </w:r>
      <w:r w:rsidR="009D06CE">
        <w:t>)</w:t>
      </w:r>
      <w:r w:rsidR="009D06CE">
        <w:tab/>
        <w:t xml:space="preserve">In addition, the water temperature at representative locations in the main river </w:t>
      </w:r>
      <w:r>
        <w:t>must</w:t>
      </w:r>
      <w:r w:rsidR="009D06CE">
        <w:t xml:space="preserve"> not exceed the maximum limits in the following table during more than one percent of the hours in the 12-month per</w:t>
      </w:r>
      <w:r w:rsidR="00A65BE8">
        <w:t>iod ending with any month.  Moreo</w:t>
      </w:r>
      <w:r w:rsidR="009D06CE">
        <w:t xml:space="preserve">ver, the water temperature at </w:t>
      </w:r>
      <w:r w:rsidR="00181FA4">
        <w:t>those</w:t>
      </w:r>
      <w:r w:rsidR="009D06CE">
        <w:t xml:space="preserve"> locations </w:t>
      </w:r>
      <w:r w:rsidR="006B553C">
        <w:t xml:space="preserve">must never </w:t>
      </w:r>
      <w:r w:rsidR="009D06CE">
        <w:t>exceed the maximum limit</w:t>
      </w:r>
      <w:r w:rsidR="00831B19">
        <w:t>s</w:t>
      </w:r>
      <w:r w:rsidR="009D06CE">
        <w:t xml:space="preserve"> in the following table by more than 1.7</w:t>
      </w:r>
      <w:r w:rsidR="00E4302D">
        <w:t xml:space="preserve"> </w:t>
      </w:r>
      <w:r w:rsidR="00836514">
        <w:t>º</w:t>
      </w:r>
      <w:r w:rsidR="009D06CE">
        <w:t>C (3</w:t>
      </w:r>
      <w:r w:rsidR="00E4302D">
        <w:t xml:space="preserve"> </w:t>
      </w:r>
      <w:r w:rsidR="00836514">
        <w:t>º</w:t>
      </w:r>
      <w:r w:rsidR="009D06CE">
        <w:t xml:space="preserve">F). </w:t>
      </w:r>
    </w:p>
    <w:p w14:paraId="75B8F103" w14:textId="77777777" w:rsidR="00836514" w:rsidRDefault="00836514" w:rsidP="003B166C">
      <w:pPr>
        <w:widowControl w:val="0"/>
        <w:autoSpaceDE w:val="0"/>
        <w:autoSpaceDN w:val="0"/>
        <w:adjustRightInd w:val="0"/>
      </w:pPr>
    </w:p>
    <w:tbl>
      <w:tblPr>
        <w:tblW w:w="0" w:type="auto"/>
        <w:tblInd w:w="1533" w:type="dxa"/>
        <w:tblLook w:val="0000" w:firstRow="0" w:lastRow="0" w:firstColumn="0" w:lastColumn="0" w:noHBand="0" w:noVBand="0"/>
      </w:tblPr>
      <w:tblGrid>
        <w:gridCol w:w="1311"/>
        <w:gridCol w:w="855"/>
        <w:gridCol w:w="1026"/>
        <w:gridCol w:w="1311"/>
        <w:gridCol w:w="972"/>
        <w:gridCol w:w="972"/>
        <w:gridCol w:w="1248"/>
      </w:tblGrid>
      <w:tr w:rsidR="00836514" w14:paraId="7D2E3790" w14:textId="77777777" w:rsidTr="006B553C">
        <w:trPr>
          <w:trHeight w:val="324"/>
        </w:trPr>
        <w:tc>
          <w:tcPr>
            <w:tcW w:w="1311" w:type="dxa"/>
            <w:tcBorders>
              <w:bottom w:val="single" w:sz="4" w:space="0" w:color="auto"/>
            </w:tcBorders>
            <w:vAlign w:val="bottom"/>
          </w:tcPr>
          <w:p w14:paraId="5302F773" w14:textId="77777777" w:rsidR="00836514" w:rsidRDefault="00836514" w:rsidP="006B553C">
            <w:pPr>
              <w:widowControl w:val="0"/>
              <w:autoSpaceDE w:val="0"/>
              <w:autoSpaceDN w:val="0"/>
              <w:adjustRightInd w:val="0"/>
            </w:pPr>
          </w:p>
        </w:tc>
        <w:tc>
          <w:tcPr>
            <w:tcW w:w="855" w:type="dxa"/>
            <w:tcBorders>
              <w:bottom w:val="single" w:sz="4" w:space="0" w:color="auto"/>
            </w:tcBorders>
            <w:vAlign w:val="bottom"/>
          </w:tcPr>
          <w:p w14:paraId="33DBDE41" w14:textId="77777777" w:rsidR="00836514" w:rsidRDefault="00836514" w:rsidP="006B553C">
            <w:pPr>
              <w:widowControl w:val="0"/>
              <w:autoSpaceDE w:val="0"/>
              <w:autoSpaceDN w:val="0"/>
              <w:adjustRightInd w:val="0"/>
            </w:pPr>
            <w:r>
              <w:t>ºC</w:t>
            </w:r>
          </w:p>
        </w:tc>
        <w:tc>
          <w:tcPr>
            <w:tcW w:w="1026" w:type="dxa"/>
            <w:tcBorders>
              <w:bottom w:val="single" w:sz="4" w:space="0" w:color="auto"/>
            </w:tcBorders>
            <w:vAlign w:val="bottom"/>
          </w:tcPr>
          <w:p w14:paraId="14EA3789" w14:textId="77777777" w:rsidR="00836514" w:rsidRDefault="00836514" w:rsidP="006B553C">
            <w:pPr>
              <w:widowControl w:val="0"/>
              <w:autoSpaceDE w:val="0"/>
              <w:autoSpaceDN w:val="0"/>
              <w:adjustRightInd w:val="0"/>
            </w:pPr>
            <w:r>
              <w:t>ºF</w:t>
            </w:r>
          </w:p>
        </w:tc>
        <w:tc>
          <w:tcPr>
            <w:tcW w:w="1311" w:type="dxa"/>
            <w:tcBorders>
              <w:bottom w:val="single" w:sz="4" w:space="0" w:color="auto"/>
            </w:tcBorders>
            <w:vAlign w:val="bottom"/>
          </w:tcPr>
          <w:p w14:paraId="78614707" w14:textId="77777777" w:rsidR="00836514" w:rsidRDefault="00836514" w:rsidP="006B553C">
            <w:pPr>
              <w:widowControl w:val="0"/>
              <w:autoSpaceDE w:val="0"/>
              <w:autoSpaceDN w:val="0"/>
              <w:adjustRightInd w:val="0"/>
            </w:pPr>
          </w:p>
        </w:tc>
        <w:tc>
          <w:tcPr>
            <w:tcW w:w="972" w:type="dxa"/>
            <w:tcBorders>
              <w:bottom w:val="single" w:sz="4" w:space="0" w:color="auto"/>
            </w:tcBorders>
            <w:shd w:val="clear" w:color="auto" w:fill="auto"/>
            <w:vAlign w:val="bottom"/>
          </w:tcPr>
          <w:p w14:paraId="46EEC397" w14:textId="77777777" w:rsidR="00836514" w:rsidRDefault="00836514" w:rsidP="006B553C">
            <w:pPr>
              <w:widowControl w:val="0"/>
              <w:autoSpaceDE w:val="0"/>
              <w:autoSpaceDN w:val="0"/>
              <w:adjustRightInd w:val="0"/>
            </w:pPr>
          </w:p>
        </w:tc>
        <w:tc>
          <w:tcPr>
            <w:tcW w:w="972" w:type="dxa"/>
            <w:tcBorders>
              <w:bottom w:val="single" w:sz="4" w:space="0" w:color="auto"/>
            </w:tcBorders>
            <w:shd w:val="clear" w:color="auto" w:fill="auto"/>
            <w:vAlign w:val="bottom"/>
          </w:tcPr>
          <w:p w14:paraId="50D24EFF" w14:textId="77777777" w:rsidR="00836514" w:rsidRDefault="00B14719" w:rsidP="006B553C">
            <w:pPr>
              <w:widowControl w:val="0"/>
              <w:autoSpaceDE w:val="0"/>
              <w:autoSpaceDN w:val="0"/>
              <w:adjustRightInd w:val="0"/>
            </w:pPr>
            <w:r>
              <w:t>ºC</w:t>
            </w:r>
          </w:p>
        </w:tc>
        <w:tc>
          <w:tcPr>
            <w:tcW w:w="1248" w:type="dxa"/>
            <w:tcBorders>
              <w:bottom w:val="single" w:sz="4" w:space="0" w:color="auto"/>
            </w:tcBorders>
            <w:vAlign w:val="bottom"/>
          </w:tcPr>
          <w:p w14:paraId="2F2D6FFE" w14:textId="77777777" w:rsidR="00836514" w:rsidRDefault="00B14719" w:rsidP="006B553C">
            <w:pPr>
              <w:widowControl w:val="0"/>
              <w:autoSpaceDE w:val="0"/>
              <w:autoSpaceDN w:val="0"/>
              <w:adjustRightInd w:val="0"/>
            </w:pPr>
            <w:r>
              <w:t>ºF</w:t>
            </w:r>
          </w:p>
        </w:tc>
      </w:tr>
      <w:tr w:rsidR="00836514" w14:paraId="1996EB6C" w14:textId="77777777">
        <w:tc>
          <w:tcPr>
            <w:tcW w:w="1311" w:type="dxa"/>
            <w:tcBorders>
              <w:top w:val="single" w:sz="4" w:space="0" w:color="auto"/>
            </w:tcBorders>
          </w:tcPr>
          <w:p w14:paraId="71169CC6" w14:textId="77777777" w:rsidR="00836514" w:rsidRDefault="00836514" w:rsidP="009D06CE">
            <w:pPr>
              <w:widowControl w:val="0"/>
              <w:autoSpaceDE w:val="0"/>
              <w:autoSpaceDN w:val="0"/>
              <w:adjustRightInd w:val="0"/>
            </w:pPr>
          </w:p>
        </w:tc>
        <w:tc>
          <w:tcPr>
            <w:tcW w:w="855" w:type="dxa"/>
            <w:tcBorders>
              <w:top w:val="single" w:sz="4" w:space="0" w:color="auto"/>
            </w:tcBorders>
          </w:tcPr>
          <w:p w14:paraId="0B8955BD" w14:textId="77777777" w:rsidR="00836514" w:rsidRDefault="00836514" w:rsidP="009D06CE">
            <w:pPr>
              <w:widowControl w:val="0"/>
              <w:autoSpaceDE w:val="0"/>
              <w:autoSpaceDN w:val="0"/>
              <w:adjustRightInd w:val="0"/>
            </w:pPr>
          </w:p>
        </w:tc>
        <w:tc>
          <w:tcPr>
            <w:tcW w:w="1026" w:type="dxa"/>
            <w:tcBorders>
              <w:top w:val="single" w:sz="4" w:space="0" w:color="auto"/>
            </w:tcBorders>
          </w:tcPr>
          <w:p w14:paraId="2EAAE63D" w14:textId="77777777" w:rsidR="00836514" w:rsidRDefault="00836514" w:rsidP="009D06CE">
            <w:pPr>
              <w:widowControl w:val="0"/>
              <w:autoSpaceDE w:val="0"/>
              <w:autoSpaceDN w:val="0"/>
              <w:adjustRightInd w:val="0"/>
            </w:pPr>
          </w:p>
        </w:tc>
        <w:tc>
          <w:tcPr>
            <w:tcW w:w="1311" w:type="dxa"/>
            <w:tcBorders>
              <w:top w:val="single" w:sz="4" w:space="0" w:color="auto"/>
            </w:tcBorders>
          </w:tcPr>
          <w:p w14:paraId="6D4F7CF0" w14:textId="77777777" w:rsidR="00836514" w:rsidRDefault="00836514" w:rsidP="009D06CE">
            <w:pPr>
              <w:widowControl w:val="0"/>
              <w:autoSpaceDE w:val="0"/>
              <w:autoSpaceDN w:val="0"/>
              <w:adjustRightInd w:val="0"/>
            </w:pPr>
          </w:p>
        </w:tc>
        <w:tc>
          <w:tcPr>
            <w:tcW w:w="972" w:type="dxa"/>
            <w:tcBorders>
              <w:top w:val="single" w:sz="4" w:space="0" w:color="auto"/>
            </w:tcBorders>
            <w:shd w:val="clear" w:color="auto" w:fill="auto"/>
          </w:tcPr>
          <w:p w14:paraId="1D78E7AB" w14:textId="77777777" w:rsidR="00836514" w:rsidRDefault="00836514" w:rsidP="009D06CE">
            <w:pPr>
              <w:widowControl w:val="0"/>
              <w:autoSpaceDE w:val="0"/>
              <w:autoSpaceDN w:val="0"/>
              <w:adjustRightInd w:val="0"/>
            </w:pPr>
          </w:p>
        </w:tc>
        <w:tc>
          <w:tcPr>
            <w:tcW w:w="972" w:type="dxa"/>
            <w:tcBorders>
              <w:top w:val="single" w:sz="4" w:space="0" w:color="auto"/>
            </w:tcBorders>
            <w:shd w:val="clear" w:color="auto" w:fill="auto"/>
          </w:tcPr>
          <w:p w14:paraId="425C54ED" w14:textId="77777777" w:rsidR="00836514" w:rsidRDefault="00836514" w:rsidP="009D06CE">
            <w:pPr>
              <w:widowControl w:val="0"/>
              <w:autoSpaceDE w:val="0"/>
              <w:autoSpaceDN w:val="0"/>
              <w:adjustRightInd w:val="0"/>
            </w:pPr>
          </w:p>
        </w:tc>
        <w:tc>
          <w:tcPr>
            <w:tcW w:w="1248" w:type="dxa"/>
            <w:tcBorders>
              <w:top w:val="single" w:sz="4" w:space="0" w:color="auto"/>
            </w:tcBorders>
          </w:tcPr>
          <w:p w14:paraId="6B32DEB6" w14:textId="77777777" w:rsidR="00836514" w:rsidRDefault="00836514" w:rsidP="009D06CE">
            <w:pPr>
              <w:widowControl w:val="0"/>
              <w:autoSpaceDE w:val="0"/>
              <w:autoSpaceDN w:val="0"/>
              <w:adjustRightInd w:val="0"/>
            </w:pPr>
          </w:p>
        </w:tc>
      </w:tr>
      <w:tr w:rsidR="00836514" w14:paraId="1A973B2A" w14:textId="77777777">
        <w:tc>
          <w:tcPr>
            <w:tcW w:w="1311" w:type="dxa"/>
          </w:tcPr>
          <w:p w14:paraId="4DD25916" w14:textId="77777777" w:rsidR="00836514" w:rsidRDefault="00836514" w:rsidP="009D06CE">
            <w:pPr>
              <w:widowControl w:val="0"/>
              <w:autoSpaceDE w:val="0"/>
              <w:autoSpaceDN w:val="0"/>
              <w:adjustRightInd w:val="0"/>
            </w:pPr>
            <w:r>
              <w:t>JAN</w:t>
            </w:r>
          </w:p>
        </w:tc>
        <w:tc>
          <w:tcPr>
            <w:tcW w:w="855" w:type="dxa"/>
          </w:tcPr>
          <w:p w14:paraId="19B08C71" w14:textId="77777777" w:rsidR="00836514" w:rsidRDefault="00836514" w:rsidP="009D06CE">
            <w:pPr>
              <w:widowControl w:val="0"/>
              <w:autoSpaceDE w:val="0"/>
              <w:autoSpaceDN w:val="0"/>
              <w:adjustRightInd w:val="0"/>
            </w:pPr>
            <w:r>
              <w:t>16</w:t>
            </w:r>
          </w:p>
        </w:tc>
        <w:tc>
          <w:tcPr>
            <w:tcW w:w="1026" w:type="dxa"/>
          </w:tcPr>
          <w:p w14:paraId="250890A9" w14:textId="77777777" w:rsidR="00836514" w:rsidRDefault="00836514" w:rsidP="009D06CE">
            <w:pPr>
              <w:widowControl w:val="0"/>
              <w:autoSpaceDE w:val="0"/>
              <w:autoSpaceDN w:val="0"/>
              <w:adjustRightInd w:val="0"/>
            </w:pPr>
            <w:r>
              <w:t>60</w:t>
            </w:r>
          </w:p>
        </w:tc>
        <w:tc>
          <w:tcPr>
            <w:tcW w:w="1311" w:type="dxa"/>
          </w:tcPr>
          <w:p w14:paraId="54A2736B" w14:textId="77777777" w:rsidR="00836514" w:rsidRDefault="00836514" w:rsidP="009D06CE">
            <w:pPr>
              <w:widowControl w:val="0"/>
              <w:autoSpaceDE w:val="0"/>
              <w:autoSpaceDN w:val="0"/>
              <w:adjustRightInd w:val="0"/>
            </w:pPr>
          </w:p>
        </w:tc>
        <w:tc>
          <w:tcPr>
            <w:tcW w:w="972" w:type="dxa"/>
            <w:shd w:val="clear" w:color="auto" w:fill="auto"/>
          </w:tcPr>
          <w:p w14:paraId="7732A968" w14:textId="77777777" w:rsidR="00836514" w:rsidRDefault="00836514" w:rsidP="009D06CE">
            <w:pPr>
              <w:widowControl w:val="0"/>
              <w:autoSpaceDE w:val="0"/>
              <w:autoSpaceDN w:val="0"/>
              <w:adjustRightInd w:val="0"/>
            </w:pPr>
            <w:r>
              <w:t>JUL.</w:t>
            </w:r>
          </w:p>
        </w:tc>
        <w:tc>
          <w:tcPr>
            <w:tcW w:w="972" w:type="dxa"/>
            <w:shd w:val="clear" w:color="auto" w:fill="auto"/>
          </w:tcPr>
          <w:p w14:paraId="6D99FD4E" w14:textId="77777777" w:rsidR="00836514" w:rsidRDefault="00836514" w:rsidP="009D06CE">
            <w:pPr>
              <w:widowControl w:val="0"/>
              <w:autoSpaceDE w:val="0"/>
              <w:autoSpaceDN w:val="0"/>
              <w:adjustRightInd w:val="0"/>
            </w:pPr>
            <w:r>
              <w:t>32</w:t>
            </w:r>
          </w:p>
        </w:tc>
        <w:tc>
          <w:tcPr>
            <w:tcW w:w="1248" w:type="dxa"/>
          </w:tcPr>
          <w:p w14:paraId="4797835C" w14:textId="77777777" w:rsidR="00836514" w:rsidRDefault="00836514" w:rsidP="009D06CE">
            <w:pPr>
              <w:widowControl w:val="0"/>
              <w:autoSpaceDE w:val="0"/>
              <w:autoSpaceDN w:val="0"/>
              <w:adjustRightInd w:val="0"/>
            </w:pPr>
            <w:r>
              <w:t>90</w:t>
            </w:r>
          </w:p>
        </w:tc>
      </w:tr>
      <w:tr w:rsidR="00836514" w14:paraId="42F4B623" w14:textId="77777777">
        <w:tc>
          <w:tcPr>
            <w:tcW w:w="1311" w:type="dxa"/>
          </w:tcPr>
          <w:p w14:paraId="36C56C76" w14:textId="77777777" w:rsidR="00836514" w:rsidRDefault="00836514" w:rsidP="009D06CE">
            <w:pPr>
              <w:widowControl w:val="0"/>
              <w:autoSpaceDE w:val="0"/>
              <w:autoSpaceDN w:val="0"/>
              <w:adjustRightInd w:val="0"/>
            </w:pPr>
            <w:r>
              <w:t>FEB.</w:t>
            </w:r>
          </w:p>
        </w:tc>
        <w:tc>
          <w:tcPr>
            <w:tcW w:w="855" w:type="dxa"/>
          </w:tcPr>
          <w:p w14:paraId="4EDEB92B" w14:textId="77777777" w:rsidR="00836514" w:rsidRDefault="00836514" w:rsidP="009D06CE">
            <w:pPr>
              <w:widowControl w:val="0"/>
              <w:autoSpaceDE w:val="0"/>
              <w:autoSpaceDN w:val="0"/>
              <w:adjustRightInd w:val="0"/>
            </w:pPr>
            <w:r>
              <w:t>16</w:t>
            </w:r>
          </w:p>
        </w:tc>
        <w:tc>
          <w:tcPr>
            <w:tcW w:w="1026" w:type="dxa"/>
          </w:tcPr>
          <w:p w14:paraId="51727957" w14:textId="77777777" w:rsidR="00836514" w:rsidRDefault="00836514" w:rsidP="009D06CE">
            <w:pPr>
              <w:widowControl w:val="0"/>
              <w:autoSpaceDE w:val="0"/>
              <w:autoSpaceDN w:val="0"/>
              <w:adjustRightInd w:val="0"/>
            </w:pPr>
            <w:r>
              <w:t>60</w:t>
            </w:r>
          </w:p>
        </w:tc>
        <w:tc>
          <w:tcPr>
            <w:tcW w:w="1311" w:type="dxa"/>
          </w:tcPr>
          <w:p w14:paraId="2FA5ECD4" w14:textId="77777777" w:rsidR="00836514" w:rsidRDefault="00836514" w:rsidP="009D06CE">
            <w:pPr>
              <w:widowControl w:val="0"/>
              <w:autoSpaceDE w:val="0"/>
              <w:autoSpaceDN w:val="0"/>
              <w:adjustRightInd w:val="0"/>
            </w:pPr>
          </w:p>
        </w:tc>
        <w:tc>
          <w:tcPr>
            <w:tcW w:w="972" w:type="dxa"/>
            <w:shd w:val="clear" w:color="auto" w:fill="auto"/>
          </w:tcPr>
          <w:p w14:paraId="0B7B3BEA" w14:textId="77777777" w:rsidR="00836514" w:rsidRDefault="00836514" w:rsidP="009D06CE">
            <w:pPr>
              <w:widowControl w:val="0"/>
              <w:autoSpaceDE w:val="0"/>
              <w:autoSpaceDN w:val="0"/>
              <w:adjustRightInd w:val="0"/>
            </w:pPr>
            <w:r>
              <w:t>AUG.</w:t>
            </w:r>
          </w:p>
        </w:tc>
        <w:tc>
          <w:tcPr>
            <w:tcW w:w="972" w:type="dxa"/>
            <w:shd w:val="clear" w:color="auto" w:fill="auto"/>
          </w:tcPr>
          <w:p w14:paraId="11B62AA5" w14:textId="77777777" w:rsidR="00836514" w:rsidRDefault="00836514" w:rsidP="009D06CE">
            <w:pPr>
              <w:widowControl w:val="0"/>
              <w:autoSpaceDE w:val="0"/>
              <w:autoSpaceDN w:val="0"/>
              <w:adjustRightInd w:val="0"/>
            </w:pPr>
            <w:r>
              <w:t>32</w:t>
            </w:r>
          </w:p>
        </w:tc>
        <w:tc>
          <w:tcPr>
            <w:tcW w:w="1248" w:type="dxa"/>
          </w:tcPr>
          <w:p w14:paraId="148EBCFB" w14:textId="77777777" w:rsidR="00836514" w:rsidRDefault="00836514" w:rsidP="009D06CE">
            <w:pPr>
              <w:widowControl w:val="0"/>
              <w:autoSpaceDE w:val="0"/>
              <w:autoSpaceDN w:val="0"/>
              <w:adjustRightInd w:val="0"/>
            </w:pPr>
            <w:r>
              <w:t>90</w:t>
            </w:r>
          </w:p>
        </w:tc>
      </w:tr>
      <w:tr w:rsidR="00836514" w14:paraId="373215F9" w14:textId="77777777">
        <w:tc>
          <w:tcPr>
            <w:tcW w:w="1311" w:type="dxa"/>
          </w:tcPr>
          <w:p w14:paraId="40FC2519" w14:textId="77777777" w:rsidR="00836514" w:rsidRDefault="00836514" w:rsidP="009D06CE">
            <w:pPr>
              <w:widowControl w:val="0"/>
              <w:autoSpaceDE w:val="0"/>
              <w:autoSpaceDN w:val="0"/>
              <w:adjustRightInd w:val="0"/>
            </w:pPr>
            <w:r>
              <w:t>MAR.</w:t>
            </w:r>
          </w:p>
        </w:tc>
        <w:tc>
          <w:tcPr>
            <w:tcW w:w="855" w:type="dxa"/>
          </w:tcPr>
          <w:p w14:paraId="2427F565" w14:textId="77777777" w:rsidR="00836514" w:rsidRDefault="00836514" w:rsidP="009D06CE">
            <w:pPr>
              <w:widowControl w:val="0"/>
              <w:autoSpaceDE w:val="0"/>
              <w:autoSpaceDN w:val="0"/>
              <w:adjustRightInd w:val="0"/>
            </w:pPr>
            <w:r>
              <w:t>16</w:t>
            </w:r>
          </w:p>
        </w:tc>
        <w:tc>
          <w:tcPr>
            <w:tcW w:w="1026" w:type="dxa"/>
          </w:tcPr>
          <w:p w14:paraId="2BFDD7D8" w14:textId="77777777" w:rsidR="00836514" w:rsidRDefault="00836514" w:rsidP="009D06CE">
            <w:pPr>
              <w:widowControl w:val="0"/>
              <w:autoSpaceDE w:val="0"/>
              <w:autoSpaceDN w:val="0"/>
              <w:adjustRightInd w:val="0"/>
            </w:pPr>
            <w:r>
              <w:t>60</w:t>
            </w:r>
          </w:p>
        </w:tc>
        <w:tc>
          <w:tcPr>
            <w:tcW w:w="1311" w:type="dxa"/>
          </w:tcPr>
          <w:p w14:paraId="444E3D21" w14:textId="77777777" w:rsidR="00836514" w:rsidRDefault="00836514" w:rsidP="009D06CE">
            <w:pPr>
              <w:widowControl w:val="0"/>
              <w:autoSpaceDE w:val="0"/>
              <w:autoSpaceDN w:val="0"/>
              <w:adjustRightInd w:val="0"/>
            </w:pPr>
          </w:p>
        </w:tc>
        <w:tc>
          <w:tcPr>
            <w:tcW w:w="972" w:type="dxa"/>
            <w:shd w:val="clear" w:color="auto" w:fill="auto"/>
          </w:tcPr>
          <w:p w14:paraId="088BF5A8" w14:textId="77777777" w:rsidR="00836514" w:rsidRDefault="00836514" w:rsidP="009D06CE">
            <w:pPr>
              <w:widowControl w:val="0"/>
              <w:autoSpaceDE w:val="0"/>
              <w:autoSpaceDN w:val="0"/>
              <w:adjustRightInd w:val="0"/>
            </w:pPr>
            <w:r>
              <w:t>SEPT.</w:t>
            </w:r>
          </w:p>
        </w:tc>
        <w:tc>
          <w:tcPr>
            <w:tcW w:w="972" w:type="dxa"/>
            <w:shd w:val="clear" w:color="auto" w:fill="auto"/>
          </w:tcPr>
          <w:p w14:paraId="7C5BD943" w14:textId="77777777" w:rsidR="00836514" w:rsidRDefault="00836514" w:rsidP="009D06CE">
            <w:pPr>
              <w:widowControl w:val="0"/>
              <w:autoSpaceDE w:val="0"/>
              <w:autoSpaceDN w:val="0"/>
              <w:adjustRightInd w:val="0"/>
            </w:pPr>
            <w:r>
              <w:t>32</w:t>
            </w:r>
          </w:p>
        </w:tc>
        <w:tc>
          <w:tcPr>
            <w:tcW w:w="1248" w:type="dxa"/>
          </w:tcPr>
          <w:p w14:paraId="6AAAD81F" w14:textId="77777777" w:rsidR="00836514" w:rsidRDefault="00836514" w:rsidP="009D06CE">
            <w:pPr>
              <w:widowControl w:val="0"/>
              <w:autoSpaceDE w:val="0"/>
              <w:autoSpaceDN w:val="0"/>
              <w:adjustRightInd w:val="0"/>
            </w:pPr>
            <w:r>
              <w:t>90</w:t>
            </w:r>
          </w:p>
        </w:tc>
      </w:tr>
      <w:tr w:rsidR="00836514" w14:paraId="1080F07C" w14:textId="77777777">
        <w:tc>
          <w:tcPr>
            <w:tcW w:w="1311" w:type="dxa"/>
          </w:tcPr>
          <w:p w14:paraId="1781BCD6" w14:textId="77777777" w:rsidR="00836514" w:rsidRDefault="00B14719" w:rsidP="009D06CE">
            <w:pPr>
              <w:widowControl w:val="0"/>
              <w:autoSpaceDE w:val="0"/>
              <w:autoSpaceDN w:val="0"/>
              <w:adjustRightInd w:val="0"/>
            </w:pPr>
            <w:r>
              <w:t>APR.</w:t>
            </w:r>
          </w:p>
        </w:tc>
        <w:tc>
          <w:tcPr>
            <w:tcW w:w="855" w:type="dxa"/>
          </w:tcPr>
          <w:p w14:paraId="67362D3D" w14:textId="77777777" w:rsidR="00836514" w:rsidRDefault="00B14719" w:rsidP="009D06CE">
            <w:pPr>
              <w:widowControl w:val="0"/>
              <w:autoSpaceDE w:val="0"/>
              <w:autoSpaceDN w:val="0"/>
              <w:adjustRightInd w:val="0"/>
            </w:pPr>
            <w:r>
              <w:t>32</w:t>
            </w:r>
          </w:p>
        </w:tc>
        <w:tc>
          <w:tcPr>
            <w:tcW w:w="1026" w:type="dxa"/>
          </w:tcPr>
          <w:p w14:paraId="247272A6" w14:textId="77777777" w:rsidR="00836514" w:rsidRDefault="00B14719" w:rsidP="009D06CE">
            <w:pPr>
              <w:widowControl w:val="0"/>
              <w:autoSpaceDE w:val="0"/>
              <w:autoSpaceDN w:val="0"/>
              <w:adjustRightInd w:val="0"/>
            </w:pPr>
            <w:r>
              <w:t>90</w:t>
            </w:r>
          </w:p>
        </w:tc>
        <w:tc>
          <w:tcPr>
            <w:tcW w:w="1311" w:type="dxa"/>
          </w:tcPr>
          <w:p w14:paraId="55A51CF3" w14:textId="77777777" w:rsidR="00836514" w:rsidRDefault="00836514" w:rsidP="009D06CE">
            <w:pPr>
              <w:widowControl w:val="0"/>
              <w:autoSpaceDE w:val="0"/>
              <w:autoSpaceDN w:val="0"/>
              <w:adjustRightInd w:val="0"/>
            </w:pPr>
          </w:p>
        </w:tc>
        <w:tc>
          <w:tcPr>
            <w:tcW w:w="972" w:type="dxa"/>
            <w:shd w:val="clear" w:color="auto" w:fill="auto"/>
          </w:tcPr>
          <w:p w14:paraId="3A547D87" w14:textId="77777777" w:rsidR="00836514" w:rsidRDefault="00B14719" w:rsidP="009D06CE">
            <w:pPr>
              <w:widowControl w:val="0"/>
              <w:autoSpaceDE w:val="0"/>
              <w:autoSpaceDN w:val="0"/>
              <w:adjustRightInd w:val="0"/>
            </w:pPr>
            <w:r>
              <w:t>OCT.</w:t>
            </w:r>
          </w:p>
        </w:tc>
        <w:tc>
          <w:tcPr>
            <w:tcW w:w="972" w:type="dxa"/>
            <w:shd w:val="clear" w:color="auto" w:fill="auto"/>
          </w:tcPr>
          <w:p w14:paraId="5660896B" w14:textId="77777777" w:rsidR="00836514" w:rsidRDefault="00B14719" w:rsidP="009D06CE">
            <w:pPr>
              <w:widowControl w:val="0"/>
              <w:autoSpaceDE w:val="0"/>
              <w:autoSpaceDN w:val="0"/>
              <w:adjustRightInd w:val="0"/>
            </w:pPr>
            <w:r>
              <w:t>32</w:t>
            </w:r>
          </w:p>
        </w:tc>
        <w:tc>
          <w:tcPr>
            <w:tcW w:w="1248" w:type="dxa"/>
          </w:tcPr>
          <w:p w14:paraId="5084C4DB" w14:textId="77777777" w:rsidR="00836514" w:rsidRDefault="00B14719" w:rsidP="009D06CE">
            <w:pPr>
              <w:widowControl w:val="0"/>
              <w:autoSpaceDE w:val="0"/>
              <w:autoSpaceDN w:val="0"/>
              <w:adjustRightInd w:val="0"/>
            </w:pPr>
            <w:r>
              <w:t>90</w:t>
            </w:r>
          </w:p>
        </w:tc>
      </w:tr>
      <w:tr w:rsidR="00836514" w14:paraId="42C80904" w14:textId="77777777">
        <w:tc>
          <w:tcPr>
            <w:tcW w:w="1311" w:type="dxa"/>
          </w:tcPr>
          <w:p w14:paraId="3D96803E" w14:textId="77777777" w:rsidR="00836514" w:rsidRDefault="00B14719" w:rsidP="009D06CE">
            <w:pPr>
              <w:widowControl w:val="0"/>
              <w:autoSpaceDE w:val="0"/>
              <w:autoSpaceDN w:val="0"/>
              <w:adjustRightInd w:val="0"/>
            </w:pPr>
            <w:r>
              <w:t>MAY</w:t>
            </w:r>
          </w:p>
        </w:tc>
        <w:tc>
          <w:tcPr>
            <w:tcW w:w="855" w:type="dxa"/>
          </w:tcPr>
          <w:p w14:paraId="51C29108" w14:textId="77777777" w:rsidR="00836514" w:rsidRDefault="00B14719" w:rsidP="009D06CE">
            <w:pPr>
              <w:widowControl w:val="0"/>
              <w:autoSpaceDE w:val="0"/>
              <w:autoSpaceDN w:val="0"/>
              <w:adjustRightInd w:val="0"/>
            </w:pPr>
            <w:r>
              <w:t>32</w:t>
            </w:r>
          </w:p>
        </w:tc>
        <w:tc>
          <w:tcPr>
            <w:tcW w:w="1026" w:type="dxa"/>
          </w:tcPr>
          <w:p w14:paraId="3042B6D3" w14:textId="77777777" w:rsidR="00836514" w:rsidRDefault="00B14719" w:rsidP="009D06CE">
            <w:pPr>
              <w:widowControl w:val="0"/>
              <w:autoSpaceDE w:val="0"/>
              <w:autoSpaceDN w:val="0"/>
              <w:adjustRightInd w:val="0"/>
            </w:pPr>
            <w:r>
              <w:t>90</w:t>
            </w:r>
          </w:p>
        </w:tc>
        <w:tc>
          <w:tcPr>
            <w:tcW w:w="1311" w:type="dxa"/>
          </w:tcPr>
          <w:p w14:paraId="0A6C8B1B" w14:textId="77777777" w:rsidR="00836514" w:rsidRDefault="00836514" w:rsidP="009D06CE">
            <w:pPr>
              <w:widowControl w:val="0"/>
              <w:autoSpaceDE w:val="0"/>
              <w:autoSpaceDN w:val="0"/>
              <w:adjustRightInd w:val="0"/>
            </w:pPr>
          </w:p>
        </w:tc>
        <w:tc>
          <w:tcPr>
            <w:tcW w:w="972" w:type="dxa"/>
            <w:shd w:val="clear" w:color="auto" w:fill="auto"/>
          </w:tcPr>
          <w:p w14:paraId="0121451B" w14:textId="77777777" w:rsidR="00836514" w:rsidRDefault="00B14719" w:rsidP="009D06CE">
            <w:pPr>
              <w:widowControl w:val="0"/>
              <w:autoSpaceDE w:val="0"/>
              <w:autoSpaceDN w:val="0"/>
              <w:adjustRightInd w:val="0"/>
            </w:pPr>
            <w:r>
              <w:t>NOV.</w:t>
            </w:r>
          </w:p>
        </w:tc>
        <w:tc>
          <w:tcPr>
            <w:tcW w:w="972" w:type="dxa"/>
            <w:shd w:val="clear" w:color="auto" w:fill="auto"/>
          </w:tcPr>
          <w:p w14:paraId="7464DC6B" w14:textId="77777777" w:rsidR="00836514" w:rsidRDefault="00B14719" w:rsidP="009D06CE">
            <w:pPr>
              <w:widowControl w:val="0"/>
              <w:autoSpaceDE w:val="0"/>
              <w:autoSpaceDN w:val="0"/>
              <w:adjustRightInd w:val="0"/>
            </w:pPr>
            <w:r>
              <w:t>32</w:t>
            </w:r>
          </w:p>
        </w:tc>
        <w:tc>
          <w:tcPr>
            <w:tcW w:w="1248" w:type="dxa"/>
          </w:tcPr>
          <w:p w14:paraId="5C68FD3E" w14:textId="77777777" w:rsidR="00836514" w:rsidRDefault="00B14719" w:rsidP="009D06CE">
            <w:pPr>
              <w:widowControl w:val="0"/>
              <w:autoSpaceDE w:val="0"/>
              <w:autoSpaceDN w:val="0"/>
              <w:adjustRightInd w:val="0"/>
            </w:pPr>
            <w:r>
              <w:t>90</w:t>
            </w:r>
          </w:p>
        </w:tc>
      </w:tr>
      <w:tr w:rsidR="00836514" w14:paraId="1C6A93A4" w14:textId="77777777">
        <w:tc>
          <w:tcPr>
            <w:tcW w:w="1311" w:type="dxa"/>
          </w:tcPr>
          <w:p w14:paraId="0F0EC1F6" w14:textId="77777777" w:rsidR="00836514" w:rsidRDefault="00B14719" w:rsidP="009D06CE">
            <w:pPr>
              <w:widowControl w:val="0"/>
              <w:autoSpaceDE w:val="0"/>
              <w:autoSpaceDN w:val="0"/>
              <w:adjustRightInd w:val="0"/>
            </w:pPr>
            <w:r>
              <w:t>JUNE</w:t>
            </w:r>
          </w:p>
        </w:tc>
        <w:tc>
          <w:tcPr>
            <w:tcW w:w="855" w:type="dxa"/>
          </w:tcPr>
          <w:p w14:paraId="4433B63C" w14:textId="77777777" w:rsidR="00836514" w:rsidRDefault="00B14719" w:rsidP="009D06CE">
            <w:pPr>
              <w:widowControl w:val="0"/>
              <w:autoSpaceDE w:val="0"/>
              <w:autoSpaceDN w:val="0"/>
              <w:adjustRightInd w:val="0"/>
            </w:pPr>
            <w:r>
              <w:t>32</w:t>
            </w:r>
          </w:p>
        </w:tc>
        <w:tc>
          <w:tcPr>
            <w:tcW w:w="1026" w:type="dxa"/>
          </w:tcPr>
          <w:p w14:paraId="0EE2FAA9" w14:textId="77777777" w:rsidR="00836514" w:rsidRDefault="00B14719" w:rsidP="009D06CE">
            <w:pPr>
              <w:widowControl w:val="0"/>
              <w:autoSpaceDE w:val="0"/>
              <w:autoSpaceDN w:val="0"/>
              <w:adjustRightInd w:val="0"/>
            </w:pPr>
            <w:r>
              <w:t>90</w:t>
            </w:r>
          </w:p>
        </w:tc>
        <w:tc>
          <w:tcPr>
            <w:tcW w:w="1311" w:type="dxa"/>
          </w:tcPr>
          <w:p w14:paraId="34B6D739" w14:textId="77777777" w:rsidR="00836514" w:rsidRDefault="00836514" w:rsidP="009D06CE">
            <w:pPr>
              <w:widowControl w:val="0"/>
              <w:autoSpaceDE w:val="0"/>
              <w:autoSpaceDN w:val="0"/>
              <w:adjustRightInd w:val="0"/>
            </w:pPr>
          </w:p>
        </w:tc>
        <w:tc>
          <w:tcPr>
            <w:tcW w:w="972" w:type="dxa"/>
            <w:shd w:val="clear" w:color="auto" w:fill="auto"/>
          </w:tcPr>
          <w:p w14:paraId="656B7787" w14:textId="77777777" w:rsidR="00836514" w:rsidRDefault="00B14719" w:rsidP="009D06CE">
            <w:pPr>
              <w:widowControl w:val="0"/>
              <w:autoSpaceDE w:val="0"/>
              <w:autoSpaceDN w:val="0"/>
              <w:adjustRightInd w:val="0"/>
            </w:pPr>
            <w:r>
              <w:t>DEC.</w:t>
            </w:r>
          </w:p>
        </w:tc>
        <w:tc>
          <w:tcPr>
            <w:tcW w:w="972" w:type="dxa"/>
            <w:shd w:val="clear" w:color="auto" w:fill="auto"/>
          </w:tcPr>
          <w:p w14:paraId="66D55D5E" w14:textId="77777777" w:rsidR="00836514" w:rsidRDefault="00B14719" w:rsidP="009D06CE">
            <w:pPr>
              <w:widowControl w:val="0"/>
              <w:autoSpaceDE w:val="0"/>
              <w:autoSpaceDN w:val="0"/>
              <w:adjustRightInd w:val="0"/>
            </w:pPr>
            <w:r>
              <w:t>16</w:t>
            </w:r>
          </w:p>
        </w:tc>
        <w:tc>
          <w:tcPr>
            <w:tcW w:w="1248" w:type="dxa"/>
          </w:tcPr>
          <w:p w14:paraId="226BCB7F" w14:textId="77777777" w:rsidR="00836514" w:rsidRDefault="00B14719" w:rsidP="009D06CE">
            <w:pPr>
              <w:widowControl w:val="0"/>
              <w:autoSpaceDE w:val="0"/>
              <w:autoSpaceDN w:val="0"/>
              <w:adjustRightInd w:val="0"/>
            </w:pPr>
            <w:r>
              <w:t>60</w:t>
            </w:r>
          </w:p>
        </w:tc>
      </w:tr>
    </w:tbl>
    <w:p w14:paraId="3FAEBF83" w14:textId="77777777" w:rsidR="009D06CE" w:rsidRDefault="009D06CE" w:rsidP="009D06CE">
      <w:pPr>
        <w:widowControl w:val="0"/>
        <w:autoSpaceDE w:val="0"/>
        <w:autoSpaceDN w:val="0"/>
        <w:adjustRightInd w:val="0"/>
      </w:pPr>
    </w:p>
    <w:p w14:paraId="2DF5E2A0" w14:textId="7C1062C6" w:rsidR="009D06CE" w:rsidRDefault="006B553C" w:rsidP="009D06CE">
      <w:pPr>
        <w:widowControl w:val="0"/>
        <w:autoSpaceDE w:val="0"/>
        <w:autoSpaceDN w:val="0"/>
        <w:adjustRightInd w:val="0"/>
        <w:ind w:left="1440" w:hanging="720"/>
      </w:pPr>
      <w:r>
        <w:t>e</w:t>
      </w:r>
      <w:r w:rsidR="009D06CE">
        <w:t>)</w:t>
      </w:r>
      <w:r w:rsidR="009D06CE">
        <w:tab/>
        <w:t xml:space="preserve">The owner or operator of a source of heated effluent </w:t>
      </w:r>
      <w:r w:rsidR="00181FA4">
        <w:t>that</w:t>
      </w:r>
      <w:r w:rsidR="009D06CE">
        <w:t xml:space="preserve"> discharges 150 megawatts (0.5 billion British thermal units per hour) or more </w:t>
      </w:r>
      <w:r>
        <w:t>must</w:t>
      </w:r>
      <w:r w:rsidR="009D06CE">
        <w:t xml:space="preserve"> demonstrate in a hearing before </w:t>
      </w:r>
      <w:r>
        <w:t>the</w:t>
      </w:r>
      <w:r w:rsidR="009D06CE">
        <w:t xml:space="preserve"> Board in the case of new sources, after the commencement of operation, that discharges from that source have not caused and cannot be reasonably expected to cause significant ecological damage to the receiving waters.  If </w:t>
      </w:r>
      <w:r>
        <w:t>th</w:t>
      </w:r>
      <w:r w:rsidR="00181FA4">
        <w:t>is</w:t>
      </w:r>
      <w:r>
        <w:t xml:space="preserve"> demonstration</w:t>
      </w:r>
      <w:r w:rsidR="009D06CE">
        <w:t xml:space="preserve"> is not made to the satisfaction of the Board</w:t>
      </w:r>
      <w:r>
        <w:t xml:space="preserve">, the Board </w:t>
      </w:r>
      <w:r w:rsidR="00181FA4">
        <w:t xml:space="preserve">will </w:t>
      </w:r>
      <w:r>
        <w:t>order</w:t>
      </w:r>
      <w:r w:rsidR="009D06CE">
        <w:t xml:space="preserve"> appropriate corrective measures </w:t>
      </w:r>
      <w:r>
        <w:t>to be implemented</w:t>
      </w:r>
      <w:r w:rsidR="009D06CE">
        <w:t xml:space="preserve"> within a reasonable time as determined by the Board. </w:t>
      </w:r>
    </w:p>
    <w:p w14:paraId="4D03EC64" w14:textId="77777777" w:rsidR="00B14719" w:rsidRDefault="00B14719" w:rsidP="003B166C">
      <w:pPr>
        <w:widowControl w:val="0"/>
        <w:autoSpaceDE w:val="0"/>
        <w:autoSpaceDN w:val="0"/>
        <w:adjustRightInd w:val="0"/>
      </w:pPr>
    </w:p>
    <w:p w14:paraId="2A90911F" w14:textId="3ECAE48B" w:rsidR="009D06CE" w:rsidRDefault="006B553C" w:rsidP="009D06CE">
      <w:pPr>
        <w:widowControl w:val="0"/>
        <w:autoSpaceDE w:val="0"/>
        <w:autoSpaceDN w:val="0"/>
        <w:adjustRightInd w:val="0"/>
        <w:ind w:left="1440" w:hanging="720"/>
      </w:pPr>
      <w:r>
        <w:t>f</w:t>
      </w:r>
      <w:r w:rsidR="009D06CE">
        <w:t>)</w:t>
      </w:r>
      <w:r w:rsidR="009D06CE">
        <w:tab/>
        <w:t xml:space="preserve">Permits for heated effluent discharges, whether issued by the Board or </w:t>
      </w:r>
      <w:r w:rsidR="00C848B9">
        <w:t>the Agency</w:t>
      </w:r>
      <w:r w:rsidR="009D06CE">
        <w:t xml:space="preserve">, </w:t>
      </w:r>
      <w:r>
        <w:t>can be revised if</w:t>
      </w:r>
      <w:r w:rsidR="009D06CE">
        <w:t xml:space="preserve"> reasonable future development creates a need for reallocation of the assimilative capacity of the receiving stream as defined in the regulation above. </w:t>
      </w:r>
    </w:p>
    <w:p w14:paraId="071C0F1B" w14:textId="77777777" w:rsidR="00B14719" w:rsidRDefault="00B14719" w:rsidP="003B166C">
      <w:pPr>
        <w:widowControl w:val="0"/>
        <w:autoSpaceDE w:val="0"/>
        <w:autoSpaceDN w:val="0"/>
        <w:adjustRightInd w:val="0"/>
      </w:pPr>
    </w:p>
    <w:p w14:paraId="5A7C452A" w14:textId="53612D6B" w:rsidR="009D06CE" w:rsidRDefault="006B553C" w:rsidP="009D06CE">
      <w:pPr>
        <w:widowControl w:val="0"/>
        <w:autoSpaceDE w:val="0"/>
        <w:autoSpaceDN w:val="0"/>
        <w:adjustRightInd w:val="0"/>
        <w:ind w:left="1440" w:hanging="720"/>
      </w:pPr>
      <w:r>
        <w:t>g</w:t>
      </w:r>
      <w:r w:rsidR="009D06CE">
        <w:t>)</w:t>
      </w:r>
      <w:r w:rsidR="009D06CE">
        <w:tab/>
        <w:t xml:space="preserve">The owner or operator of a source of heated effluent </w:t>
      </w:r>
      <w:r>
        <w:t>must</w:t>
      </w:r>
      <w:r w:rsidR="009D06CE">
        <w:t xml:space="preserve"> maintain records and conduct studies of the effluents from </w:t>
      </w:r>
      <w:r>
        <w:t>the</w:t>
      </w:r>
      <w:r w:rsidR="009D06CE">
        <w:t xml:space="preserve"> sources and of their effects as may be required by the Agency or in any permit granted under the Act. </w:t>
      </w:r>
    </w:p>
    <w:p w14:paraId="6C764B99" w14:textId="77777777" w:rsidR="00B14719" w:rsidRDefault="00B14719" w:rsidP="003B166C">
      <w:pPr>
        <w:widowControl w:val="0"/>
        <w:autoSpaceDE w:val="0"/>
        <w:autoSpaceDN w:val="0"/>
        <w:adjustRightInd w:val="0"/>
      </w:pPr>
    </w:p>
    <w:p w14:paraId="113F29A4" w14:textId="09F6416B" w:rsidR="009D06CE" w:rsidRDefault="006B553C" w:rsidP="009D06CE">
      <w:pPr>
        <w:widowControl w:val="0"/>
        <w:autoSpaceDE w:val="0"/>
        <w:autoSpaceDN w:val="0"/>
        <w:adjustRightInd w:val="0"/>
        <w:ind w:left="1440" w:hanging="720"/>
      </w:pPr>
      <w:r>
        <w:t>h</w:t>
      </w:r>
      <w:r w:rsidR="009D06CE">
        <w:t>)</w:t>
      </w:r>
      <w:r w:rsidR="009D06CE">
        <w:tab/>
        <w:t xml:space="preserve">Appropriate corrective measures will be required if, upon complaint filed in </w:t>
      </w:r>
      <w:r>
        <w:lastRenderedPageBreak/>
        <w:t>compliance</w:t>
      </w:r>
      <w:r w:rsidR="009D06CE">
        <w:t xml:space="preserve"> with Board rules, it is found at any time that any heated effluent causes significant ecological damage to the receiving stream. </w:t>
      </w:r>
    </w:p>
    <w:p w14:paraId="3F2D3233" w14:textId="77777777" w:rsidR="00B14719" w:rsidRDefault="00B14719" w:rsidP="003B166C">
      <w:pPr>
        <w:widowControl w:val="0"/>
        <w:autoSpaceDE w:val="0"/>
        <w:autoSpaceDN w:val="0"/>
        <w:adjustRightInd w:val="0"/>
      </w:pPr>
    </w:p>
    <w:p w14:paraId="43EB9C27" w14:textId="577520C1" w:rsidR="009D06CE" w:rsidRDefault="006B553C" w:rsidP="009D06CE">
      <w:pPr>
        <w:widowControl w:val="0"/>
        <w:autoSpaceDE w:val="0"/>
        <w:autoSpaceDN w:val="0"/>
        <w:adjustRightInd w:val="0"/>
        <w:ind w:left="1440" w:hanging="720"/>
      </w:pPr>
      <w:proofErr w:type="spellStart"/>
      <w:r>
        <w:t>i</w:t>
      </w:r>
      <w:proofErr w:type="spellEnd"/>
      <w:r w:rsidR="009D06CE">
        <w:t>)</w:t>
      </w:r>
      <w:r w:rsidR="009D06CE">
        <w:tab/>
        <w:t xml:space="preserve">All effluents to an artificial cooling lake must comply with the applicable provisions of the thermal water quality standards in this Section and 35 Ill. Adm. Code 303, except when all of the following requirements are met: </w:t>
      </w:r>
    </w:p>
    <w:p w14:paraId="40D264E7" w14:textId="77777777" w:rsidR="00B14719" w:rsidRDefault="00B14719" w:rsidP="003B166C">
      <w:pPr>
        <w:widowControl w:val="0"/>
        <w:autoSpaceDE w:val="0"/>
        <w:autoSpaceDN w:val="0"/>
        <w:adjustRightInd w:val="0"/>
      </w:pPr>
    </w:p>
    <w:p w14:paraId="6275B880" w14:textId="30CA6C76" w:rsidR="009D06CE" w:rsidRDefault="009D06CE" w:rsidP="009D06CE">
      <w:pPr>
        <w:widowControl w:val="0"/>
        <w:autoSpaceDE w:val="0"/>
        <w:autoSpaceDN w:val="0"/>
        <w:adjustRightInd w:val="0"/>
        <w:ind w:left="2160" w:hanging="720"/>
      </w:pPr>
      <w:r>
        <w:t>1)</w:t>
      </w:r>
      <w:r>
        <w:tab/>
        <w:t>All discharges from the artificial cooling lake to other waters of the State comply with the applicable provisions of subsections (</w:t>
      </w:r>
      <w:r w:rsidR="006B553C">
        <w:t>a</w:t>
      </w:r>
      <w:r>
        <w:t>) through (</w:t>
      </w:r>
      <w:r w:rsidR="006B553C">
        <w:t>d</w:t>
      </w:r>
      <w:r>
        <w:t xml:space="preserve">). </w:t>
      </w:r>
    </w:p>
    <w:p w14:paraId="5933E462" w14:textId="77777777" w:rsidR="00B14719" w:rsidRDefault="00B14719" w:rsidP="003B166C">
      <w:pPr>
        <w:widowControl w:val="0"/>
        <w:autoSpaceDE w:val="0"/>
        <w:autoSpaceDN w:val="0"/>
        <w:adjustRightInd w:val="0"/>
      </w:pPr>
    </w:p>
    <w:p w14:paraId="36CD744B" w14:textId="4E0C741D" w:rsidR="009D06CE" w:rsidRDefault="009D06CE" w:rsidP="009D06CE">
      <w:pPr>
        <w:widowControl w:val="0"/>
        <w:autoSpaceDE w:val="0"/>
        <w:autoSpaceDN w:val="0"/>
        <w:adjustRightInd w:val="0"/>
        <w:ind w:left="2160" w:hanging="720"/>
      </w:pPr>
      <w:r>
        <w:t>2)</w:t>
      </w:r>
      <w:r>
        <w:tab/>
        <w:t>The heated effluent discharged to the artificial cooling lake complies with all other applicable provisions of this Chapter, except subsections (</w:t>
      </w:r>
      <w:r w:rsidR="006B553C">
        <w:t>a</w:t>
      </w:r>
      <w:r>
        <w:t>) through (</w:t>
      </w:r>
      <w:r w:rsidR="006B553C">
        <w:t>d</w:t>
      </w:r>
      <w:r>
        <w:t xml:space="preserve">). </w:t>
      </w:r>
    </w:p>
    <w:p w14:paraId="02F34248" w14:textId="77777777" w:rsidR="00B14719" w:rsidRDefault="00B14719" w:rsidP="003B166C">
      <w:pPr>
        <w:widowControl w:val="0"/>
        <w:autoSpaceDE w:val="0"/>
        <w:autoSpaceDN w:val="0"/>
        <w:adjustRightInd w:val="0"/>
      </w:pPr>
    </w:p>
    <w:p w14:paraId="49428040" w14:textId="01DB61F1" w:rsidR="009D06CE" w:rsidRDefault="009D06CE" w:rsidP="009D06CE">
      <w:pPr>
        <w:widowControl w:val="0"/>
        <w:autoSpaceDE w:val="0"/>
        <w:autoSpaceDN w:val="0"/>
        <w:adjustRightInd w:val="0"/>
        <w:ind w:left="2160" w:hanging="720"/>
      </w:pPr>
      <w:r>
        <w:t>3)</w:t>
      </w:r>
      <w:r>
        <w:tab/>
        <w:t>At an adjudicative hearing</w:t>
      </w:r>
      <w:r w:rsidR="00181FA4">
        <w:t>,</w:t>
      </w:r>
      <w:r>
        <w:t xml:space="preserve"> the discharger </w:t>
      </w:r>
      <w:r w:rsidR="006B553C">
        <w:t>must</w:t>
      </w:r>
      <w:r>
        <w:t xml:space="preserve"> satisfactorily demonstrate to the Board that the artificial cooling lake receiving the heated effluent will be environmentally acceptable, and within the intent of the Act, including: </w:t>
      </w:r>
    </w:p>
    <w:p w14:paraId="173EE4A8" w14:textId="77777777" w:rsidR="00B14719" w:rsidRDefault="00B14719" w:rsidP="003B166C">
      <w:pPr>
        <w:widowControl w:val="0"/>
        <w:autoSpaceDE w:val="0"/>
        <w:autoSpaceDN w:val="0"/>
        <w:adjustRightInd w:val="0"/>
      </w:pPr>
    </w:p>
    <w:p w14:paraId="62D6BD7F" w14:textId="58490542" w:rsidR="009D06CE" w:rsidRDefault="009D06CE" w:rsidP="009D06CE">
      <w:pPr>
        <w:widowControl w:val="0"/>
        <w:autoSpaceDE w:val="0"/>
        <w:autoSpaceDN w:val="0"/>
        <w:adjustRightInd w:val="0"/>
        <w:ind w:left="2880" w:hanging="720"/>
      </w:pPr>
      <w:r>
        <w:t>A)</w:t>
      </w:r>
      <w:r>
        <w:tab/>
      </w:r>
      <w:r w:rsidR="00A65BE8">
        <w:t>providing</w:t>
      </w:r>
      <w:r>
        <w:t xml:space="preserve"> conditions capable of supporting shellfish, fish and wildlife, and recreational uses consistent with good management practices, and </w:t>
      </w:r>
    </w:p>
    <w:p w14:paraId="6330A161" w14:textId="77777777" w:rsidR="00B14719" w:rsidRDefault="00B14719" w:rsidP="003B166C">
      <w:pPr>
        <w:widowControl w:val="0"/>
        <w:autoSpaceDE w:val="0"/>
        <w:autoSpaceDN w:val="0"/>
        <w:adjustRightInd w:val="0"/>
      </w:pPr>
    </w:p>
    <w:p w14:paraId="5BABE3D3" w14:textId="045BA35A" w:rsidR="009D06CE" w:rsidRDefault="009D06CE" w:rsidP="009D06CE">
      <w:pPr>
        <w:widowControl w:val="0"/>
        <w:autoSpaceDE w:val="0"/>
        <w:autoSpaceDN w:val="0"/>
        <w:adjustRightInd w:val="0"/>
        <w:ind w:left="2880" w:hanging="720"/>
      </w:pPr>
      <w:r>
        <w:t>B)</w:t>
      </w:r>
      <w:r>
        <w:tab/>
      </w:r>
      <w:r w:rsidR="00A65BE8">
        <w:t>controlling</w:t>
      </w:r>
      <w:r>
        <w:t xml:space="preserve"> the thermal component of the discharger's effluent by a technologically feasible and economically reasonable method. </w:t>
      </w:r>
    </w:p>
    <w:p w14:paraId="6C4FEA78" w14:textId="77777777" w:rsidR="00B14719" w:rsidRDefault="00B14719" w:rsidP="003B166C">
      <w:pPr>
        <w:widowControl w:val="0"/>
        <w:autoSpaceDE w:val="0"/>
        <w:autoSpaceDN w:val="0"/>
        <w:adjustRightInd w:val="0"/>
      </w:pPr>
    </w:p>
    <w:p w14:paraId="50E2EF1C" w14:textId="4F579D93" w:rsidR="009D06CE" w:rsidRDefault="009D06CE" w:rsidP="009D06CE">
      <w:pPr>
        <w:widowControl w:val="0"/>
        <w:autoSpaceDE w:val="0"/>
        <w:autoSpaceDN w:val="0"/>
        <w:adjustRightInd w:val="0"/>
        <w:ind w:left="2160" w:hanging="720"/>
      </w:pPr>
      <w:r>
        <w:t>4)</w:t>
      </w:r>
      <w:r>
        <w:tab/>
        <w:t xml:space="preserve">The required </w:t>
      </w:r>
      <w:r w:rsidR="00A65BE8">
        <w:t>demonstration</w:t>
      </w:r>
      <w:r>
        <w:t xml:space="preserve"> in subsection </w:t>
      </w:r>
      <w:r w:rsidR="00181FA4">
        <w:t>(</w:t>
      </w:r>
      <w:proofErr w:type="spellStart"/>
      <w:r w:rsidR="00181FA4">
        <w:t>i</w:t>
      </w:r>
      <w:proofErr w:type="spellEnd"/>
      <w:r w:rsidR="00181FA4">
        <w:t>)(3)</w:t>
      </w:r>
      <w:r>
        <w:t xml:space="preserve"> may take the form of an acceptable final environmental impact statement or pertinent provisions of e</w:t>
      </w:r>
      <w:r w:rsidR="00A65BE8">
        <w:t>n</w:t>
      </w:r>
      <w:r>
        <w:t xml:space="preserve">vironmental assessments used in the preparation of the final environmental impact statement, or may take the form of </w:t>
      </w:r>
      <w:r w:rsidR="00A65BE8">
        <w:t>a demonstration under</w:t>
      </w:r>
      <w:r>
        <w:t xml:space="preserve"> Section 316(a) of the Clean Water Act (CWA)</w:t>
      </w:r>
      <w:r w:rsidR="003B166C">
        <w:t xml:space="preserve"> </w:t>
      </w:r>
      <w:r>
        <w:t>(33 U.S.C. 1251 et seq.)</w:t>
      </w:r>
      <w:r w:rsidR="008660A9">
        <w:t xml:space="preserve"> that</w:t>
      </w:r>
      <w:r>
        <w:t xml:space="preserve"> addresses the requirements of subsection </w:t>
      </w:r>
      <w:r w:rsidR="008660A9">
        <w:t>(</w:t>
      </w:r>
      <w:proofErr w:type="spellStart"/>
      <w:r w:rsidR="008660A9">
        <w:t>i</w:t>
      </w:r>
      <w:proofErr w:type="spellEnd"/>
      <w:r w:rsidR="008660A9">
        <w:t>)(3)</w:t>
      </w:r>
      <w:r>
        <w:t xml:space="preserve">. </w:t>
      </w:r>
    </w:p>
    <w:p w14:paraId="2CFBE635" w14:textId="77777777" w:rsidR="00B14719" w:rsidRDefault="00B14719" w:rsidP="003B166C">
      <w:pPr>
        <w:widowControl w:val="0"/>
        <w:autoSpaceDE w:val="0"/>
        <w:autoSpaceDN w:val="0"/>
        <w:adjustRightInd w:val="0"/>
      </w:pPr>
    </w:p>
    <w:p w14:paraId="56BB3B58" w14:textId="4F576A3F" w:rsidR="009D06CE" w:rsidRDefault="009D06CE" w:rsidP="009D06CE">
      <w:pPr>
        <w:widowControl w:val="0"/>
        <w:autoSpaceDE w:val="0"/>
        <w:autoSpaceDN w:val="0"/>
        <w:adjustRightInd w:val="0"/>
        <w:ind w:left="2160" w:hanging="720"/>
      </w:pPr>
      <w:r>
        <w:t>5)</w:t>
      </w:r>
      <w:r>
        <w:tab/>
        <w:t xml:space="preserve">If </w:t>
      </w:r>
      <w:r w:rsidR="00A65BE8">
        <w:t>the Board finds the demonstration to be</w:t>
      </w:r>
      <w:r>
        <w:t xml:space="preserve"> adequate as provided in subsection (</w:t>
      </w:r>
      <w:proofErr w:type="spellStart"/>
      <w:r w:rsidR="00A65BE8">
        <w:t>i</w:t>
      </w:r>
      <w:proofErr w:type="spellEnd"/>
      <w:r>
        <w:t xml:space="preserve">)(3), the Board </w:t>
      </w:r>
      <w:r w:rsidR="00181FA4">
        <w:t>will</w:t>
      </w:r>
      <w:r>
        <w:t xml:space="preserve"> promulgate specific thermal standards to be applied to the discharge to that artificial cooling </w:t>
      </w:r>
      <w:r w:rsidR="00181FA4">
        <w:t>lake</w:t>
      </w:r>
      <w:r>
        <w:t xml:space="preserve">. </w:t>
      </w:r>
    </w:p>
    <w:p w14:paraId="67E092BB" w14:textId="77777777" w:rsidR="009D06CE" w:rsidRDefault="009D06CE" w:rsidP="003B166C">
      <w:pPr>
        <w:widowControl w:val="0"/>
        <w:autoSpaceDE w:val="0"/>
        <w:autoSpaceDN w:val="0"/>
        <w:adjustRightInd w:val="0"/>
      </w:pPr>
    </w:p>
    <w:p w14:paraId="2D6A0220" w14:textId="73898A1B" w:rsidR="009D06CE" w:rsidRDefault="00A65BE8" w:rsidP="009D06CE">
      <w:pPr>
        <w:widowControl w:val="0"/>
        <w:autoSpaceDE w:val="0"/>
        <w:autoSpaceDN w:val="0"/>
        <w:adjustRightInd w:val="0"/>
        <w:ind w:left="1440" w:hanging="720"/>
      </w:pPr>
      <w:r>
        <w:t>(Source:  Amended at 4</w:t>
      </w:r>
      <w:r w:rsidR="00181FA4">
        <w:t>7</w:t>
      </w:r>
      <w:r>
        <w:t xml:space="preserve"> Ill. Reg. </w:t>
      </w:r>
      <w:r w:rsidR="00934942">
        <w:t>4437</w:t>
      </w:r>
      <w:r>
        <w:t xml:space="preserve">, effective </w:t>
      </w:r>
      <w:r w:rsidR="00934942">
        <w:t>March 23, 2023</w:t>
      </w:r>
      <w:r>
        <w:t>)</w:t>
      </w:r>
    </w:p>
    <w:sectPr w:rsidR="009D06CE" w:rsidSect="009D06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D06CE"/>
    <w:rsid w:val="00181FA4"/>
    <w:rsid w:val="00210EDE"/>
    <w:rsid w:val="002935AC"/>
    <w:rsid w:val="00381904"/>
    <w:rsid w:val="003819EA"/>
    <w:rsid w:val="003B166C"/>
    <w:rsid w:val="00503D26"/>
    <w:rsid w:val="005C3366"/>
    <w:rsid w:val="005C4EE1"/>
    <w:rsid w:val="006B553C"/>
    <w:rsid w:val="00773D67"/>
    <w:rsid w:val="00831B19"/>
    <w:rsid w:val="00836514"/>
    <w:rsid w:val="008660A9"/>
    <w:rsid w:val="00934942"/>
    <w:rsid w:val="009D06CE"/>
    <w:rsid w:val="00A65BE8"/>
    <w:rsid w:val="00A70358"/>
    <w:rsid w:val="00B14719"/>
    <w:rsid w:val="00B732C5"/>
    <w:rsid w:val="00C848B9"/>
    <w:rsid w:val="00E4302D"/>
    <w:rsid w:val="00F4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B2B5CC"/>
  <w15:docId w15:val="{8B4A2436-B14C-46D3-8848-38C22739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2023-04-07T22:31:00Z</dcterms:modified>
</cp:coreProperties>
</file>