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CD16C" w14:textId="77777777" w:rsidR="00AC63DD" w:rsidRDefault="00AC63DD" w:rsidP="00AC63DD">
      <w:pPr>
        <w:widowControl w:val="0"/>
        <w:autoSpaceDE w:val="0"/>
        <w:autoSpaceDN w:val="0"/>
        <w:adjustRightInd w:val="0"/>
      </w:pPr>
    </w:p>
    <w:p w14:paraId="46CAEAFC" w14:textId="77777777" w:rsidR="00AC63DD" w:rsidRDefault="00AC63DD" w:rsidP="00AC63D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302.565  Determining</w:t>
      </w:r>
      <w:proofErr w:type="gramEnd"/>
      <w:r>
        <w:rPr>
          <w:b/>
          <w:bCs/>
        </w:rPr>
        <w:t xml:space="preserve"> the Lake Michigan Basin Chronic Aquatic Life Toxicity Criterion (</w:t>
      </w:r>
      <w:proofErr w:type="spellStart"/>
      <w:r>
        <w:rPr>
          <w:b/>
          <w:bCs/>
        </w:rPr>
        <w:t>LMCATC</w:t>
      </w:r>
      <w:proofErr w:type="spellEnd"/>
      <w:r>
        <w:rPr>
          <w:b/>
          <w:bCs/>
        </w:rPr>
        <w:t>) or the Lake Michigan Basin Chronic Aquatic Life Toxicity Value (</w:t>
      </w:r>
      <w:proofErr w:type="spellStart"/>
      <w:r>
        <w:rPr>
          <w:b/>
          <w:bCs/>
        </w:rPr>
        <w:t>LMCATV</w:t>
      </w:r>
      <w:proofErr w:type="spellEnd"/>
      <w:r>
        <w:rPr>
          <w:b/>
          <w:bCs/>
        </w:rPr>
        <w:t>)</w:t>
      </w:r>
      <w:r>
        <w:t xml:space="preserve"> </w:t>
      </w:r>
    </w:p>
    <w:p w14:paraId="71A59BB6" w14:textId="77777777" w:rsidR="00AC63DD" w:rsidRDefault="00AC63DD" w:rsidP="00AC63DD">
      <w:pPr>
        <w:widowControl w:val="0"/>
        <w:autoSpaceDE w:val="0"/>
        <w:autoSpaceDN w:val="0"/>
        <w:adjustRightInd w:val="0"/>
      </w:pPr>
    </w:p>
    <w:p w14:paraId="795390F8" w14:textId="77777777" w:rsidR="00AC63DD" w:rsidRDefault="00AC63DD" w:rsidP="00AC63D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Determining </w:t>
      </w:r>
      <w:proofErr w:type="gramStart"/>
      <w:r>
        <w:t>Tier</w:t>
      </w:r>
      <w:proofErr w:type="gramEnd"/>
      <w:r>
        <w:t xml:space="preserve"> I </w:t>
      </w:r>
      <w:proofErr w:type="spellStart"/>
      <w:r>
        <w:t>LMCATC</w:t>
      </w:r>
      <w:proofErr w:type="spellEnd"/>
      <w:r>
        <w:t xml:space="preserve"> </w:t>
      </w:r>
    </w:p>
    <w:p w14:paraId="15ED840A" w14:textId="77777777" w:rsidR="00FE405E" w:rsidRDefault="00FE405E" w:rsidP="0057633F">
      <w:pPr>
        <w:widowControl w:val="0"/>
        <w:autoSpaceDE w:val="0"/>
        <w:autoSpaceDN w:val="0"/>
        <w:adjustRightInd w:val="0"/>
      </w:pPr>
    </w:p>
    <w:p w14:paraId="53EF368B" w14:textId="485D55C4" w:rsidR="00AC63DD" w:rsidRDefault="00AC63DD" w:rsidP="00AC63D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When chronic toxicity data are available for at least eight resident or indigenous species from eight different North American genera of freshwater organisms as specified in Section 302.553, a Tier I </w:t>
      </w:r>
      <w:proofErr w:type="spellStart"/>
      <w:r>
        <w:t>LMCATC</w:t>
      </w:r>
      <w:proofErr w:type="spellEnd"/>
      <w:r>
        <w:t xml:space="preserve"> is derived in the same manner as the FAV in Section 302.555 or 302.560 by substituting </w:t>
      </w:r>
      <w:proofErr w:type="spellStart"/>
      <w:r>
        <w:t>LMCATC</w:t>
      </w:r>
      <w:proofErr w:type="spellEnd"/>
      <w:r>
        <w:t xml:space="preserve"> for FAV or FAI, chronic for acute, </w:t>
      </w:r>
      <w:proofErr w:type="spellStart"/>
      <w:r>
        <w:t>SMCV</w:t>
      </w:r>
      <w:proofErr w:type="spellEnd"/>
      <w:r>
        <w:t xml:space="preserve"> (Species Mean Chronic Value) for </w:t>
      </w:r>
      <w:proofErr w:type="spellStart"/>
      <w:r>
        <w:t>SMAV</w:t>
      </w:r>
      <w:proofErr w:type="spellEnd"/>
      <w:r>
        <w:t xml:space="preserve">, and </w:t>
      </w:r>
      <w:proofErr w:type="spellStart"/>
      <w:r>
        <w:t>GMCV</w:t>
      </w:r>
      <w:proofErr w:type="spellEnd"/>
      <w:r>
        <w:t xml:space="preserve"> (Genus Mean Chronic Value) for </w:t>
      </w:r>
      <w:proofErr w:type="spellStart"/>
      <w:r>
        <w:t>GMAV</w:t>
      </w:r>
      <w:proofErr w:type="spellEnd"/>
      <w:r>
        <w:t xml:space="preserve">. </w:t>
      </w:r>
    </w:p>
    <w:p w14:paraId="1B0C5435" w14:textId="77777777" w:rsidR="00FE405E" w:rsidRDefault="00FE405E" w:rsidP="0057633F">
      <w:pPr>
        <w:widowControl w:val="0"/>
        <w:autoSpaceDE w:val="0"/>
        <w:autoSpaceDN w:val="0"/>
        <w:adjustRightInd w:val="0"/>
      </w:pPr>
    </w:p>
    <w:p w14:paraId="43072356" w14:textId="19C0EEB9" w:rsidR="00AC63DD" w:rsidRDefault="00AC63DD" w:rsidP="00AC63D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If data are not available to meet the requirements of subsection (a), a Tier I </w:t>
      </w:r>
      <w:proofErr w:type="spellStart"/>
      <w:r>
        <w:t>LMCATC</w:t>
      </w:r>
      <w:proofErr w:type="spellEnd"/>
      <w:r>
        <w:t xml:space="preserve"> is calculated by dividing the FAV by the geometric mean of the acute-chronic ratios (</w:t>
      </w:r>
      <w:proofErr w:type="spellStart"/>
      <w:r>
        <w:t>ACRs</w:t>
      </w:r>
      <w:proofErr w:type="spellEnd"/>
      <w:r>
        <w:t xml:space="preserve">) obtained from at least one species of aquatic animal from at least three different families provided that of the three species: </w:t>
      </w:r>
    </w:p>
    <w:p w14:paraId="03E368EC" w14:textId="77777777" w:rsidR="00FE405E" w:rsidRDefault="00FE405E" w:rsidP="0057633F">
      <w:pPr>
        <w:widowControl w:val="0"/>
        <w:autoSpaceDE w:val="0"/>
        <w:autoSpaceDN w:val="0"/>
        <w:adjustRightInd w:val="0"/>
      </w:pPr>
    </w:p>
    <w:p w14:paraId="463CCE92" w14:textId="77777777" w:rsidR="00AC63DD" w:rsidRDefault="00AC63DD" w:rsidP="00AC63DD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At least one is a fish; </w:t>
      </w:r>
    </w:p>
    <w:p w14:paraId="25CD90A8" w14:textId="77777777" w:rsidR="00FE405E" w:rsidRDefault="00FE405E" w:rsidP="0057633F">
      <w:pPr>
        <w:widowControl w:val="0"/>
        <w:autoSpaceDE w:val="0"/>
        <w:autoSpaceDN w:val="0"/>
        <w:adjustRightInd w:val="0"/>
      </w:pPr>
    </w:p>
    <w:p w14:paraId="5A3339CC" w14:textId="77777777" w:rsidR="00AC63DD" w:rsidRDefault="00AC63DD" w:rsidP="00AC63DD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At least one is an invertebrate; and </w:t>
      </w:r>
    </w:p>
    <w:p w14:paraId="7A3D2CDC" w14:textId="77777777" w:rsidR="00FE405E" w:rsidRDefault="00FE405E" w:rsidP="0057633F">
      <w:pPr>
        <w:widowControl w:val="0"/>
        <w:autoSpaceDE w:val="0"/>
        <w:autoSpaceDN w:val="0"/>
        <w:adjustRightInd w:val="0"/>
      </w:pPr>
    </w:p>
    <w:p w14:paraId="17EEE764" w14:textId="77777777" w:rsidR="00AC63DD" w:rsidRDefault="00AC63DD" w:rsidP="00AC63DD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At least one species is an acutely sensitive freshwater species if the other two are saltwater species. </w:t>
      </w:r>
    </w:p>
    <w:p w14:paraId="432F975B" w14:textId="77777777" w:rsidR="00FE405E" w:rsidRDefault="00FE405E" w:rsidP="0057633F">
      <w:pPr>
        <w:widowControl w:val="0"/>
        <w:autoSpaceDE w:val="0"/>
        <w:autoSpaceDN w:val="0"/>
        <w:adjustRightInd w:val="0"/>
      </w:pPr>
    </w:p>
    <w:p w14:paraId="13CE6876" w14:textId="3FB0170C" w:rsidR="00AC63DD" w:rsidRDefault="00AC63DD" w:rsidP="00AC63D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The acute-chronic ratio (</w:t>
      </w:r>
      <w:proofErr w:type="spellStart"/>
      <w:r>
        <w:t>ACR</w:t>
      </w:r>
      <w:proofErr w:type="spellEnd"/>
      <w:r>
        <w:t xml:space="preserve">) for a species equals the acute toxicity concentration from data considered under Section 302.555 or 302.560, divided by the chronic toxicity concentration. </w:t>
      </w:r>
    </w:p>
    <w:p w14:paraId="708A27A5" w14:textId="77777777" w:rsidR="00FE405E" w:rsidRDefault="00FE405E" w:rsidP="0057633F">
      <w:pPr>
        <w:widowControl w:val="0"/>
        <w:autoSpaceDE w:val="0"/>
        <w:autoSpaceDN w:val="0"/>
        <w:adjustRightInd w:val="0"/>
      </w:pPr>
    </w:p>
    <w:p w14:paraId="7F1FC84B" w14:textId="77777777" w:rsidR="00AC63DD" w:rsidRDefault="00AC63DD" w:rsidP="00AC63DD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If a resident or indigenous species whose presence is necessary to sustain commercial or recreational activities will not be protected by the calculated </w:t>
      </w:r>
      <w:proofErr w:type="spellStart"/>
      <w:r>
        <w:t>LMCATC</w:t>
      </w:r>
      <w:proofErr w:type="spellEnd"/>
      <w:r>
        <w:t xml:space="preserve">, then the </w:t>
      </w:r>
      <w:proofErr w:type="spellStart"/>
      <w:r>
        <w:t>SMCV</w:t>
      </w:r>
      <w:proofErr w:type="spellEnd"/>
      <w:r>
        <w:t xml:space="preserve"> for that species is used as the </w:t>
      </w:r>
      <w:proofErr w:type="spellStart"/>
      <w:r>
        <w:t>CATC</w:t>
      </w:r>
      <w:proofErr w:type="spellEnd"/>
      <w:r>
        <w:t xml:space="preserve">. </w:t>
      </w:r>
    </w:p>
    <w:p w14:paraId="0153E00F" w14:textId="77777777" w:rsidR="00FE405E" w:rsidRDefault="00FE405E" w:rsidP="0057633F">
      <w:pPr>
        <w:widowControl w:val="0"/>
        <w:autoSpaceDE w:val="0"/>
        <w:autoSpaceDN w:val="0"/>
        <w:adjustRightInd w:val="0"/>
      </w:pPr>
    </w:p>
    <w:p w14:paraId="09C747D7" w14:textId="77777777" w:rsidR="00AC63DD" w:rsidRDefault="00AC63DD" w:rsidP="00AC63D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Determining the Tier II </w:t>
      </w:r>
      <w:proofErr w:type="spellStart"/>
      <w:r>
        <w:t>LMCATV</w:t>
      </w:r>
      <w:proofErr w:type="spellEnd"/>
      <w:r>
        <w:t xml:space="preserve"> </w:t>
      </w:r>
    </w:p>
    <w:p w14:paraId="3D1BB2E9" w14:textId="77777777" w:rsidR="00FE405E" w:rsidRDefault="00FE405E" w:rsidP="0057633F">
      <w:pPr>
        <w:widowControl w:val="0"/>
        <w:autoSpaceDE w:val="0"/>
        <w:autoSpaceDN w:val="0"/>
        <w:adjustRightInd w:val="0"/>
      </w:pPr>
    </w:p>
    <w:p w14:paraId="6AAB75A3" w14:textId="326B4C9E" w:rsidR="00AC63DD" w:rsidRDefault="00AC63DD" w:rsidP="00AC63D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If all eight minimum data requirements for calculating </w:t>
      </w:r>
      <w:r w:rsidR="003E04E5">
        <w:t>an</w:t>
      </w:r>
      <w:r>
        <w:t xml:space="preserve"> </w:t>
      </w:r>
      <w:proofErr w:type="spellStart"/>
      <w:r>
        <w:t>FCV</w:t>
      </w:r>
      <w:proofErr w:type="spellEnd"/>
      <w:r>
        <w:t xml:space="preserve"> using Tier I procedures are not met, or if there are not enough data for all three </w:t>
      </w:r>
      <w:proofErr w:type="spellStart"/>
      <w:r>
        <w:t>ACRs</w:t>
      </w:r>
      <w:proofErr w:type="spellEnd"/>
      <w:r>
        <w:t xml:space="preserve">, a Tier II Lake Michigan Chronic Aquatic Life Toxicity Value </w:t>
      </w:r>
      <w:r w:rsidR="006A6FFA">
        <w:t>must</w:t>
      </w:r>
      <w:r>
        <w:t xml:space="preserve"> be calculated using a secondary acute chronic ratio (</w:t>
      </w:r>
      <w:proofErr w:type="spellStart"/>
      <w:r>
        <w:t>SACR</w:t>
      </w:r>
      <w:proofErr w:type="spellEnd"/>
      <w:r>
        <w:t xml:space="preserve">) determined as follows: </w:t>
      </w:r>
    </w:p>
    <w:p w14:paraId="4ECCE068" w14:textId="77777777" w:rsidR="00FE405E" w:rsidRDefault="00FE405E" w:rsidP="0057633F">
      <w:pPr>
        <w:widowControl w:val="0"/>
        <w:autoSpaceDE w:val="0"/>
        <w:autoSpaceDN w:val="0"/>
        <w:adjustRightInd w:val="0"/>
      </w:pPr>
    </w:p>
    <w:p w14:paraId="24C9C8BB" w14:textId="77777777" w:rsidR="00AC63DD" w:rsidRDefault="00AC63DD" w:rsidP="00AC63DD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If fewer than three valid experimentally determined </w:t>
      </w:r>
      <w:proofErr w:type="spellStart"/>
      <w:r>
        <w:t>ACRs</w:t>
      </w:r>
      <w:proofErr w:type="spellEnd"/>
      <w:r>
        <w:t xml:space="preserve"> are </w:t>
      </w:r>
      <w:r>
        <w:lastRenderedPageBreak/>
        <w:t xml:space="preserve">available: </w:t>
      </w:r>
    </w:p>
    <w:p w14:paraId="6C266454" w14:textId="77777777" w:rsidR="00FE405E" w:rsidRDefault="00FE405E" w:rsidP="0057633F">
      <w:pPr>
        <w:widowControl w:val="0"/>
        <w:autoSpaceDE w:val="0"/>
        <w:autoSpaceDN w:val="0"/>
        <w:adjustRightInd w:val="0"/>
      </w:pPr>
    </w:p>
    <w:p w14:paraId="17E3E5C7" w14:textId="77777777" w:rsidR="00AC63DD" w:rsidRDefault="00AC63DD" w:rsidP="00AC63DD">
      <w:pPr>
        <w:widowControl w:val="0"/>
        <w:autoSpaceDE w:val="0"/>
        <w:autoSpaceDN w:val="0"/>
        <w:adjustRightInd w:val="0"/>
        <w:ind w:left="3600" w:hanging="720"/>
      </w:pPr>
      <w:proofErr w:type="spellStart"/>
      <w:r>
        <w:t>i</w:t>
      </w:r>
      <w:proofErr w:type="spellEnd"/>
      <w:r>
        <w:t>)</w:t>
      </w:r>
      <w:r>
        <w:tab/>
        <w:t xml:space="preserve">Use sufficient </w:t>
      </w:r>
      <w:proofErr w:type="spellStart"/>
      <w:r>
        <w:t>ACRs</w:t>
      </w:r>
      <w:proofErr w:type="spellEnd"/>
      <w:r>
        <w:t xml:space="preserve"> of 18 so that the total number of </w:t>
      </w:r>
      <w:proofErr w:type="spellStart"/>
      <w:r>
        <w:t>ACRs</w:t>
      </w:r>
      <w:proofErr w:type="spellEnd"/>
      <w:r>
        <w:t xml:space="preserve"> equals three; and </w:t>
      </w:r>
    </w:p>
    <w:p w14:paraId="1CF2AF21" w14:textId="77777777" w:rsidR="00FE405E" w:rsidRDefault="00FE405E" w:rsidP="0057633F">
      <w:pPr>
        <w:widowControl w:val="0"/>
        <w:autoSpaceDE w:val="0"/>
        <w:autoSpaceDN w:val="0"/>
        <w:adjustRightInd w:val="0"/>
      </w:pPr>
    </w:p>
    <w:p w14:paraId="2535426E" w14:textId="77777777" w:rsidR="00AC63DD" w:rsidRDefault="00AC63DD" w:rsidP="00AC63DD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 xml:space="preserve">Calculate the Secondary Acute-Chronic Ratio as the geometric mean of the three </w:t>
      </w:r>
      <w:proofErr w:type="spellStart"/>
      <w:r>
        <w:t>ACRs</w:t>
      </w:r>
      <w:proofErr w:type="spellEnd"/>
      <w:r>
        <w:t xml:space="preserve">; or </w:t>
      </w:r>
    </w:p>
    <w:p w14:paraId="07424DB5" w14:textId="77777777" w:rsidR="00FE405E" w:rsidRDefault="00FE405E" w:rsidP="0057633F">
      <w:pPr>
        <w:widowControl w:val="0"/>
        <w:autoSpaceDE w:val="0"/>
        <w:autoSpaceDN w:val="0"/>
        <w:adjustRightInd w:val="0"/>
      </w:pPr>
    </w:p>
    <w:p w14:paraId="15ABC0C5" w14:textId="77777777" w:rsidR="00AC63DD" w:rsidRDefault="00AC63DD" w:rsidP="00AC63DD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If no experimentally determined </w:t>
      </w:r>
      <w:proofErr w:type="spellStart"/>
      <w:r>
        <w:t>ACRs</w:t>
      </w:r>
      <w:proofErr w:type="spellEnd"/>
      <w:r>
        <w:t xml:space="preserve"> are available, the </w:t>
      </w:r>
      <w:proofErr w:type="spellStart"/>
      <w:r>
        <w:t>SACR</w:t>
      </w:r>
      <w:proofErr w:type="spellEnd"/>
      <w:r>
        <w:t xml:space="preserve"> is 18. </w:t>
      </w:r>
    </w:p>
    <w:p w14:paraId="790EF8E4" w14:textId="77777777" w:rsidR="00FE405E" w:rsidRDefault="00FE405E" w:rsidP="0057633F">
      <w:pPr>
        <w:widowControl w:val="0"/>
        <w:autoSpaceDE w:val="0"/>
        <w:autoSpaceDN w:val="0"/>
        <w:adjustRightInd w:val="0"/>
      </w:pPr>
    </w:p>
    <w:p w14:paraId="4E6F2CED" w14:textId="77777777" w:rsidR="00AC63DD" w:rsidRDefault="00AC63DD" w:rsidP="00AC63D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Calculate the Tier II </w:t>
      </w:r>
      <w:proofErr w:type="spellStart"/>
      <w:r>
        <w:t>LMCATV</w:t>
      </w:r>
      <w:proofErr w:type="spellEnd"/>
      <w:r>
        <w:t xml:space="preserve"> using one of the following equations: </w:t>
      </w:r>
    </w:p>
    <w:p w14:paraId="1A1B61BB" w14:textId="77777777" w:rsidR="00FE405E" w:rsidRDefault="00FE405E" w:rsidP="0057633F">
      <w:pPr>
        <w:widowControl w:val="0"/>
        <w:autoSpaceDE w:val="0"/>
        <w:autoSpaceDN w:val="0"/>
        <w:adjustRightInd w:val="0"/>
      </w:pPr>
    </w:p>
    <w:p w14:paraId="27811069" w14:textId="77777777" w:rsidR="00AC63DD" w:rsidRDefault="00AC63DD" w:rsidP="00AC63DD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Tier II </w:t>
      </w:r>
      <w:proofErr w:type="spellStart"/>
      <w:r>
        <w:t>LMCATV</w:t>
      </w:r>
      <w:proofErr w:type="spellEnd"/>
      <w:r>
        <w:t xml:space="preserve"> = FAV / </w:t>
      </w:r>
      <w:proofErr w:type="spellStart"/>
      <w:r>
        <w:t>SACR</w:t>
      </w:r>
      <w:proofErr w:type="spellEnd"/>
      <w:r>
        <w:t xml:space="preserve"> </w:t>
      </w:r>
    </w:p>
    <w:p w14:paraId="1D5F5EF1" w14:textId="77777777" w:rsidR="00FE405E" w:rsidRDefault="00FE405E" w:rsidP="0057633F">
      <w:pPr>
        <w:widowControl w:val="0"/>
        <w:autoSpaceDE w:val="0"/>
        <w:autoSpaceDN w:val="0"/>
        <w:adjustRightInd w:val="0"/>
      </w:pPr>
    </w:p>
    <w:p w14:paraId="6ECA125F" w14:textId="77777777" w:rsidR="00AC63DD" w:rsidRDefault="00AC63DD" w:rsidP="00AC63DD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Tier II </w:t>
      </w:r>
      <w:proofErr w:type="spellStart"/>
      <w:r>
        <w:t>LMCATV</w:t>
      </w:r>
      <w:proofErr w:type="spellEnd"/>
      <w:r>
        <w:t xml:space="preserve"> = SAV / </w:t>
      </w:r>
      <w:proofErr w:type="spellStart"/>
      <w:r>
        <w:t>FACR</w:t>
      </w:r>
      <w:proofErr w:type="spellEnd"/>
      <w:r>
        <w:t xml:space="preserve"> </w:t>
      </w:r>
    </w:p>
    <w:p w14:paraId="592FCA02" w14:textId="77777777" w:rsidR="00FE405E" w:rsidRDefault="00FE405E" w:rsidP="0057633F">
      <w:pPr>
        <w:widowControl w:val="0"/>
        <w:autoSpaceDE w:val="0"/>
        <w:autoSpaceDN w:val="0"/>
        <w:adjustRightInd w:val="0"/>
      </w:pPr>
    </w:p>
    <w:p w14:paraId="1965A68A" w14:textId="77777777" w:rsidR="00AC63DD" w:rsidRDefault="00AC63DD" w:rsidP="00AC63DD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Tier II </w:t>
      </w:r>
      <w:proofErr w:type="spellStart"/>
      <w:r>
        <w:t>LMCATV</w:t>
      </w:r>
      <w:proofErr w:type="spellEnd"/>
      <w:r>
        <w:t xml:space="preserve"> = SAV / </w:t>
      </w:r>
      <w:proofErr w:type="spellStart"/>
      <w:r>
        <w:t>SACR</w:t>
      </w:r>
      <w:proofErr w:type="spellEnd"/>
      <w:r>
        <w:t xml:space="preserve"> </w:t>
      </w:r>
    </w:p>
    <w:p w14:paraId="6BB2C09D" w14:textId="77777777" w:rsidR="00AC63DD" w:rsidRDefault="00AC63DD" w:rsidP="0057633F">
      <w:pPr>
        <w:widowControl w:val="0"/>
        <w:autoSpaceDE w:val="0"/>
        <w:autoSpaceDN w:val="0"/>
        <w:adjustRightInd w:val="0"/>
      </w:pPr>
    </w:p>
    <w:p w14:paraId="439447FD" w14:textId="77777777" w:rsidR="00AC63DD" w:rsidRDefault="00AC63DD" w:rsidP="00ED1618">
      <w:pPr>
        <w:widowControl w:val="0"/>
        <w:autoSpaceDE w:val="0"/>
        <w:autoSpaceDN w:val="0"/>
        <w:adjustRightInd w:val="0"/>
        <w:ind w:left="2880"/>
      </w:pPr>
      <w:r>
        <w:t xml:space="preserve">Where: </w:t>
      </w:r>
    </w:p>
    <w:p w14:paraId="2A9A7F9E" w14:textId="77777777" w:rsidR="00AC63DD" w:rsidRDefault="00AC63DD" w:rsidP="0057633F">
      <w:pPr>
        <w:widowControl w:val="0"/>
        <w:autoSpaceDE w:val="0"/>
        <w:autoSpaceDN w:val="0"/>
        <w:adjustRightInd w:val="0"/>
      </w:pPr>
    </w:p>
    <w:p w14:paraId="041E878D" w14:textId="354C2045" w:rsidR="00AC63DD" w:rsidRDefault="00AC63DD" w:rsidP="00ED1618">
      <w:pPr>
        <w:widowControl w:val="0"/>
        <w:autoSpaceDE w:val="0"/>
        <w:autoSpaceDN w:val="0"/>
        <w:adjustRightInd w:val="0"/>
        <w:ind w:left="3600"/>
      </w:pPr>
      <w:r>
        <w:t xml:space="preserve">the SAV equals 2 times the value of the Tier II </w:t>
      </w:r>
      <w:proofErr w:type="spellStart"/>
      <w:r>
        <w:t>LMAATV</w:t>
      </w:r>
      <w:proofErr w:type="spellEnd"/>
      <w:r>
        <w:t xml:space="preserve"> calculated in Section 302.563</w:t>
      </w:r>
      <w:r w:rsidR="0071764E">
        <w:t>.</w:t>
      </w:r>
      <w:r>
        <w:t xml:space="preserve"> </w:t>
      </w:r>
    </w:p>
    <w:p w14:paraId="2242D3B6" w14:textId="77777777" w:rsidR="00AC63DD" w:rsidRDefault="00AC63DD" w:rsidP="0057633F">
      <w:pPr>
        <w:widowControl w:val="0"/>
        <w:autoSpaceDE w:val="0"/>
        <w:autoSpaceDN w:val="0"/>
        <w:adjustRightInd w:val="0"/>
      </w:pPr>
    </w:p>
    <w:p w14:paraId="78C0BC63" w14:textId="77777777" w:rsidR="00AC63DD" w:rsidRDefault="00AC63DD" w:rsidP="00AC63D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If, for a commercially or recreationally important species, the </w:t>
      </w:r>
      <w:proofErr w:type="spellStart"/>
      <w:r>
        <w:t>SMCV</w:t>
      </w:r>
      <w:proofErr w:type="spellEnd"/>
      <w:r>
        <w:t xml:space="preserve"> is lower than the calculated Tier II </w:t>
      </w:r>
      <w:proofErr w:type="spellStart"/>
      <w:r>
        <w:t>LMCATV</w:t>
      </w:r>
      <w:proofErr w:type="spellEnd"/>
      <w:r>
        <w:t xml:space="preserve">, then the </w:t>
      </w:r>
      <w:proofErr w:type="spellStart"/>
      <w:r>
        <w:t>SMCV</w:t>
      </w:r>
      <w:proofErr w:type="spellEnd"/>
      <w:r>
        <w:t xml:space="preserve"> must be used as the Tier II </w:t>
      </w:r>
      <w:proofErr w:type="spellStart"/>
      <w:r>
        <w:t>LMCATV</w:t>
      </w:r>
      <w:proofErr w:type="spellEnd"/>
      <w:r>
        <w:t xml:space="preserve">. </w:t>
      </w:r>
    </w:p>
    <w:p w14:paraId="150828EA" w14:textId="77777777" w:rsidR="00AC63DD" w:rsidRDefault="00AC63DD" w:rsidP="0057633F">
      <w:pPr>
        <w:widowControl w:val="0"/>
        <w:autoSpaceDE w:val="0"/>
        <w:autoSpaceDN w:val="0"/>
        <w:adjustRightInd w:val="0"/>
      </w:pPr>
    </w:p>
    <w:p w14:paraId="751651BA" w14:textId="7CE6CC79" w:rsidR="00AC63DD" w:rsidRDefault="006A6FFA" w:rsidP="00AC63DD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3E04E5">
        <w:t>7</w:t>
      </w:r>
      <w:r>
        <w:t xml:space="preserve"> Ill. Reg. </w:t>
      </w:r>
      <w:r w:rsidR="000C1990">
        <w:t>4437</w:t>
      </w:r>
      <w:r>
        <w:t xml:space="preserve">, effective </w:t>
      </w:r>
      <w:r w:rsidR="000C1990">
        <w:t>March 23, 2023</w:t>
      </w:r>
      <w:r>
        <w:t>)</w:t>
      </w:r>
    </w:p>
    <w:sectPr w:rsidR="00AC63DD" w:rsidSect="00AC63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63DD"/>
    <w:rsid w:val="000C1990"/>
    <w:rsid w:val="003D5F79"/>
    <w:rsid w:val="003E04E5"/>
    <w:rsid w:val="00540C1E"/>
    <w:rsid w:val="0057633F"/>
    <w:rsid w:val="005C3366"/>
    <w:rsid w:val="006A6FFA"/>
    <w:rsid w:val="0071764E"/>
    <w:rsid w:val="00945E4C"/>
    <w:rsid w:val="00AC63DD"/>
    <w:rsid w:val="00B10259"/>
    <w:rsid w:val="00ED1618"/>
    <w:rsid w:val="00FE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E931A94"/>
  <w15:docId w15:val="{4E93BA41-61E7-4644-94ED-8ECCA7D5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General Assembly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Shipley, Melissa A.</cp:lastModifiedBy>
  <cp:revision>4</cp:revision>
  <dcterms:created xsi:type="dcterms:W3CDTF">2023-04-05T18:16:00Z</dcterms:created>
  <dcterms:modified xsi:type="dcterms:W3CDTF">2023-04-07T22:45:00Z</dcterms:modified>
</cp:coreProperties>
</file>