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55B1" w14:textId="77777777" w:rsidR="00D8198C" w:rsidRDefault="00D8198C" w:rsidP="00D8198C">
      <w:pPr>
        <w:widowControl w:val="0"/>
        <w:autoSpaceDE w:val="0"/>
        <w:autoSpaceDN w:val="0"/>
        <w:adjustRightInd w:val="0"/>
      </w:pPr>
    </w:p>
    <w:p w14:paraId="35DE250B" w14:textId="77777777" w:rsidR="00D8198C" w:rsidRDefault="00D8198C" w:rsidP="00D819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302.657  Determining the Human Nonthreshold Criterion</w:t>
      </w:r>
      <w:r>
        <w:t xml:space="preserve"> </w:t>
      </w:r>
    </w:p>
    <w:p w14:paraId="263FE440" w14:textId="77777777" w:rsidR="00D8198C" w:rsidRDefault="00D8198C" w:rsidP="00D8198C">
      <w:pPr>
        <w:widowControl w:val="0"/>
        <w:autoSpaceDE w:val="0"/>
        <w:autoSpaceDN w:val="0"/>
        <w:adjustRightInd w:val="0"/>
      </w:pPr>
    </w:p>
    <w:p w14:paraId="7C242923" w14:textId="77777777" w:rsidR="00D8198C" w:rsidRDefault="00D8198C" w:rsidP="00D8198C">
      <w:pPr>
        <w:widowControl w:val="0"/>
        <w:autoSpaceDE w:val="0"/>
        <w:autoSpaceDN w:val="0"/>
        <w:adjustRightInd w:val="0"/>
      </w:pPr>
      <w:r>
        <w:t>The HNC is calculated according to the equation:</w:t>
      </w:r>
    </w:p>
    <w:p w14:paraId="124B2545" w14:textId="77777777" w:rsidR="00D8198C" w:rsidRDefault="00D8198C" w:rsidP="00D8198C">
      <w:pPr>
        <w:widowControl w:val="0"/>
        <w:autoSpaceDE w:val="0"/>
        <w:autoSpaceDN w:val="0"/>
        <w:adjustRightInd w:val="0"/>
      </w:pPr>
    </w:p>
    <w:p w14:paraId="67E17DCA" w14:textId="77777777" w:rsidR="00D8198C" w:rsidRDefault="00D8198C" w:rsidP="00D8198C">
      <w:pPr>
        <w:widowControl w:val="0"/>
        <w:autoSpaceDE w:val="0"/>
        <w:autoSpaceDN w:val="0"/>
        <w:adjustRightInd w:val="0"/>
        <w:jc w:val="center"/>
      </w:pPr>
      <w:r>
        <w:t>HNC = RAI/[W + (F x BCF)]</w:t>
      </w:r>
    </w:p>
    <w:p w14:paraId="50A3914A" w14:textId="77777777" w:rsidR="00D8198C" w:rsidRDefault="00D8198C" w:rsidP="00D8198C">
      <w:pPr>
        <w:widowControl w:val="0"/>
        <w:autoSpaceDE w:val="0"/>
        <w:autoSpaceDN w:val="0"/>
        <w:adjustRightInd w:val="0"/>
      </w:pPr>
    </w:p>
    <w:p w14:paraId="2E0994BB" w14:textId="77777777" w:rsidR="00D8198C" w:rsidRDefault="00D8198C" w:rsidP="00D8198C">
      <w:pPr>
        <w:widowControl w:val="0"/>
        <w:autoSpaceDE w:val="0"/>
        <w:autoSpaceDN w:val="0"/>
        <w:adjustRightInd w:val="0"/>
        <w:ind w:firstLine="720"/>
      </w:pPr>
      <w:r>
        <w:t xml:space="preserve">where: </w:t>
      </w:r>
    </w:p>
    <w:p w14:paraId="409BA366" w14:textId="77777777" w:rsidR="00D8198C" w:rsidRDefault="00D8198C" w:rsidP="00D8198C"/>
    <w:tbl>
      <w:tblPr>
        <w:tblW w:w="7668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20"/>
        <w:gridCol w:w="270"/>
        <w:gridCol w:w="6678"/>
      </w:tblGrid>
      <w:tr w:rsidR="00D8198C" w14:paraId="48E57880" w14:textId="77777777" w:rsidTr="00D8198C">
        <w:trPr>
          <w:trHeight w:val="729"/>
        </w:trPr>
        <w:tc>
          <w:tcPr>
            <w:tcW w:w="720" w:type="dxa"/>
            <w:hideMark/>
          </w:tcPr>
          <w:p w14:paraId="2DD85540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right="-153"/>
            </w:pPr>
            <w:r>
              <w:t>HNC</w:t>
            </w:r>
          </w:p>
        </w:tc>
        <w:tc>
          <w:tcPr>
            <w:tcW w:w="270" w:type="dxa"/>
            <w:hideMark/>
          </w:tcPr>
          <w:p w14:paraId="5F4B3FE1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left="-132" w:right="-648"/>
            </w:pPr>
            <w:r>
              <w:t>=</w:t>
            </w:r>
          </w:p>
        </w:tc>
        <w:tc>
          <w:tcPr>
            <w:tcW w:w="6681" w:type="dxa"/>
            <w:hideMark/>
          </w:tcPr>
          <w:p w14:paraId="64DE8D74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Human Nonthreshold Protection Criterion in milligrams per liter (mg/L);</w:t>
            </w:r>
          </w:p>
        </w:tc>
      </w:tr>
      <w:tr w:rsidR="00D8198C" w14:paraId="522156F5" w14:textId="77777777" w:rsidTr="00D8198C">
        <w:trPr>
          <w:trHeight w:val="990"/>
        </w:trPr>
        <w:tc>
          <w:tcPr>
            <w:tcW w:w="720" w:type="dxa"/>
            <w:hideMark/>
          </w:tcPr>
          <w:p w14:paraId="264CACC7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right="-153"/>
            </w:pPr>
            <w:r>
              <w:t>RAI</w:t>
            </w:r>
          </w:p>
        </w:tc>
        <w:tc>
          <w:tcPr>
            <w:tcW w:w="270" w:type="dxa"/>
            <w:hideMark/>
          </w:tcPr>
          <w:p w14:paraId="668D25CF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left="-132" w:right="-648"/>
            </w:pPr>
            <w:r>
              <w:t>=</w:t>
            </w:r>
          </w:p>
        </w:tc>
        <w:tc>
          <w:tcPr>
            <w:tcW w:w="6681" w:type="dxa"/>
            <w:hideMark/>
          </w:tcPr>
          <w:p w14:paraId="4FF05608" w14:textId="7FBE251F" w:rsidR="00D8198C" w:rsidRDefault="00D8198C" w:rsidP="002C4051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 xml:space="preserve">Risk Associated Intake of a substance in milligrams per day (mg/d) </w:t>
            </w:r>
            <w:r w:rsidR="007038B4">
              <w:t>that</w:t>
            </w:r>
            <w:r>
              <w:t xml:space="preserve"> is associated with a lifetime cancer risk level equal to a ratio of one to 1,000,000 as derived in Section 302.654;</w:t>
            </w:r>
          </w:p>
        </w:tc>
      </w:tr>
      <w:tr w:rsidR="00D8198C" w14:paraId="6A5E4EC7" w14:textId="77777777" w:rsidTr="00D8198C">
        <w:trPr>
          <w:trHeight w:val="2394"/>
        </w:trPr>
        <w:tc>
          <w:tcPr>
            <w:tcW w:w="720" w:type="dxa"/>
            <w:hideMark/>
          </w:tcPr>
          <w:p w14:paraId="6411DDFA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right="-153"/>
            </w:pPr>
            <w:r>
              <w:t>W</w:t>
            </w:r>
          </w:p>
        </w:tc>
        <w:tc>
          <w:tcPr>
            <w:tcW w:w="270" w:type="dxa"/>
            <w:hideMark/>
          </w:tcPr>
          <w:p w14:paraId="1C7DAC05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left="-132" w:right="-648"/>
            </w:pPr>
            <w:r>
              <w:t>=</w:t>
            </w:r>
          </w:p>
        </w:tc>
        <w:tc>
          <w:tcPr>
            <w:tcW w:w="6681" w:type="dxa"/>
            <w:hideMark/>
          </w:tcPr>
          <w:p w14:paraId="1C3CFA62" w14:textId="3CA314F7" w:rsidR="00D8198C" w:rsidRDefault="00D8198C" w:rsidP="002C4051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 xml:space="preserve">Per capita daily water consumption equal to 2 liters per day (L/d) for surface waters at the point of intake of a public or food processing water supply, or equal to 0.01 liters per day (L/d) which represents incidental exposure through contact or ingestion of small volumes of water while swimming or during other recreational activities for areas which are determined to be public access areas </w:t>
            </w:r>
            <w:r w:rsidR="002C4051">
              <w:t xml:space="preserve">under </w:t>
            </w:r>
            <w:r>
              <w:t>Section 302.102(b)(3), or 0.001 liters per day (L/d) for other waters;</w:t>
            </w:r>
          </w:p>
        </w:tc>
      </w:tr>
      <w:tr w:rsidR="00D8198C" w14:paraId="4C993F97" w14:textId="77777777" w:rsidTr="00D8198C">
        <w:trPr>
          <w:trHeight w:val="693"/>
        </w:trPr>
        <w:tc>
          <w:tcPr>
            <w:tcW w:w="720" w:type="dxa"/>
            <w:hideMark/>
          </w:tcPr>
          <w:p w14:paraId="3F010594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right="-153"/>
            </w:pPr>
            <w:r>
              <w:t>F</w:t>
            </w:r>
          </w:p>
        </w:tc>
        <w:tc>
          <w:tcPr>
            <w:tcW w:w="270" w:type="dxa"/>
            <w:hideMark/>
          </w:tcPr>
          <w:p w14:paraId="253FDE14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left="-132" w:right="-648"/>
            </w:pPr>
            <w:r>
              <w:t>=</w:t>
            </w:r>
          </w:p>
        </w:tc>
        <w:tc>
          <w:tcPr>
            <w:tcW w:w="6681" w:type="dxa"/>
            <w:hideMark/>
          </w:tcPr>
          <w:p w14:paraId="1E375A8B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Assumed daily fish consumption in the United States equal to 0.020 kilograms per day (kg/d); and</w:t>
            </w:r>
          </w:p>
        </w:tc>
      </w:tr>
      <w:tr w:rsidR="00D8198C" w14:paraId="547EEAA8" w14:textId="77777777" w:rsidTr="00D8198C">
        <w:tc>
          <w:tcPr>
            <w:tcW w:w="720" w:type="dxa"/>
            <w:hideMark/>
          </w:tcPr>
          <w:p w14:paraId="2E296D6E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right="-153"/>
            </w:pPr>
            <w:r>
              <w:t>BCF</w:t>
            </w:r>
          </w:p>
        </w:tc>
        <w:tc>
          <w:tcPr>
            <w:tcW w:w="270" w:type="dxa"/>
            <w:hideMark/>
          </w:tcPr>
          <w:p w14:paraId="0657EC2E" w14:textId="77777777" w:rsidR="00D8198C" w:rsidRDefault="00D8198C">
            <w:pPr>
              <w:widowControl w:val="0"/>
              <w:autoSpaceDE w:val="0"/>
              <w:autoSpaceDN w:val="0"/>
              <w:adjustRightInd w:val="0"/>
              <w:ind w:left="-132" w:right="-648"/>
            </w:pPr>
            <w:r>
              <w:t>=</w:t>
            </w:r>
          </w:p>
        </w:tc>
        <w:tc>
          <w:tcPr>
            <w:tcW w:w="6681" w:type="dxa"/>
            <w:hideMark/>
          </w:tcPr>
          <w:p w14:paraId="760C64AB" w14:textId="287A8C2C" w:rsidR="00D8198C" w:rsidRDefault="00D8198C" w:rsidP="002C4051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 xml:space="preserve">Aquatic Life Bioconcentration Factor with units of liter per kilogram (L/kg) as derived in Section 302.663. </w:t>
            </w:r>
          </w:p>
        </w:tc>
      </w:tr>
    </w:tbl>
    <w:p w14:paraId="23FD16A9" w14:textId="77777777" w:rsidR="00D8198C" w:rsidRDefault="00D8198C" w:rsidP="00D8198C"/>
    <w:p w14:paraId="3F5B0CE3" w14:textId="1871CA63" w:rsidR="00D8198C" w:rsidRDefault="002729AC" w:rsidP="00D8198C">
      <w:pPr>
        <w:pStyle w:val="JCARSourceNote"/>
        <w:ind w:left="720"/>
      </w:pPr>
      <w:r>
        <w:t>(Source:  Amended at 4</w:t>
      </w:r>
      <w:r w:rsidR="007038B4">
        <w:t>7</w:t>
      </w:r>
      <w:r>
        <w:t xml:space="preserve"> Ill. Reg. </w:t>
      </w:r>
      <w:r w:rsidR="009E7D01">
        <w:t>4437</w:t>
      </w:r>
      <w:r>
        <w:t xml:space="preserve">, effective </w:t>
      </w:r>
      <w:r w:rsidR="009E7D01">
        <w:t>March 23, 2023</w:t>
      </w:r>
      <w:r>
        <w:t>)</w:t>
      </w:r>
    </w:p>
    <w:sectPr w:rsidR="00D8198C" w:rsidSect="00643A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A0E"/>
    <w:rsid w:val="00010A9B"/>
    <w:rsid w:val="001C3226"/>
    <w:rsid w:val="001E327E"/>
    <w:rsid w:val="00247690"/>
    <w:rsid w:val="002729AC"/>
    <w:rsid w:val="00295775"/>
    <w:rsid w:val="002C4051"/>
    <w:rsid w:val="00345320"/>
    <w:rsid w:val="004007BA"/>
    <w:rsid w:val="00424634"/>
    <w:rsid w:val="00555B6C"/>
    <w:rsid w:val="005C3366"/>
    <w:rsid w:val="0063105C"/>
    <w:rsid w:val="00643A0E"/>
    <w:rsid w:val="007038B4"/>
    <w:rsid w:val="007A3443"/>
    <w:rsid w:val="007E361C"/>
    <w:rsid w:val="00841A6C"/>
    <w:rsid w:val="008A713B"/>
    <w:rsid w:val="00962324"/>
    <w:rsid w:val="009E259D"/>
    <w:rsid w:val="009E7D01"/>
    <w:rsid w:val="00B74076"/>
    <w:rsid w:val="00BB3ABE"/>
    <w:rsid w:val="00C63904"/>
    <w:rsid w:val="00C66011"/>
    <w:rsid w:val="00D8198C"/>
    <w:rsid w:val="00DE2FDF"/>
    <w:rsid w:val="00E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B34543"/>
  <w15:docId w15:val="{CD4BCFAE-C0ED-470B-9F3C-9F5CE8DB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9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