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CA" w:rsidRDefault="00C243CA" w:rsidP="00C243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3CA" w:rsidRDefault="00C243CA" w:rsidP="00C243CA">
      <w:pPr>
        <w:widowControl w:val="0"/>
        <w:autoSpaceDE w:val="0"/>
        <w:autoSpaceDN w:val="0"/>
        <w:adjustRightInd w:val="0"/>
        <w:jc w:val="center"/>
      </w:pPr>
      <w:r>
        <w:t>SUBPART C:  SPECIFIC USE DESIGNATIONS AND SITE</w:t>
      </w:r>
    </w:p>
    <w:p w:rsidR="00C243CA" w:rsidRDefault="00C243CA" w:rsidP="00C243CA">
      <w:pPr>
        <w:widowControl w:val="0"/>
        <w:autoSpaceDE w:val="0"/>
        <w:autoSpaceDN w:val="0"/>
        <w:adjustRightInd w:val="0"/>
        <w:jc w:val="center"/>
      </w:pPr>
      <w:r>
        <w:t>SPECIFIC WATER QUALITY STANDARDS</w:t>
      </w:r>
    </w:p>
    <w:sectPr w:rsidR="00C243CA" w:rsidSect="00C243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3CA"/>
    <w:rsid w:val="000D6E13"/>
    <w:rsid w:val="00533094"/>
    <w:rsid w:val="005610A0"/>
    <w:rsid w:val="005C3366"/>
    <w:rsid w:val="00C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SPECIFIC USE DESIGNATIONS AND SITE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SPECIFIC USE DESIGNATIONS AND SITE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