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080E" w14:textId="77777777" w:rsidR="00C82482" w:rsidRDefault="00C82482" w:rsidP="00C82482">
      <w:pPr>
        <w:widowControl w:val="0"/>
        <w:autoSpaceDE w:val="0"/>
        <w:autoSpaceDN w:val="0"/>
        <w:adjustRightInd w:val="0"/>
      </w:pPr>
    </w:p>
    <w:p w14:paraId="018DAA9A" w14:textId="77777777" w:rsidR="00C82482" w:rsidRDefault="00C82482" w:rsidP="00C824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304.216  Newton Station Suspended Solids Discharges</w:t>
      </w:r>
      <w:r>
        <w:t xml:space="preserve"> </w:t>
      </w:r>
    </w:p>
    <w:p w14:paraId="32D67B30" w14:textId="77777777" w:rsidR="00C82482" w:rsidRDefault="00C82482" w:rsidP="00C82482">
      <w:pPr>
        <w:widowControl w:val="0"/>
        <w:autoSpaceDE w:val="0"/>
        <w:autoSpaceDN w:val="0"/>
        <w:adjustRightInd w:val="0"/>
      </w:pPr>
    </w:p>
    <w:p w14:paraId="69409E7A" w14:textId="39F28B57" w:rsidR="00C82482" w:rsidRDefault="00C82482" w:rsidP="00C82482">
      <w:pPr>
        <w:widowControl w:val="0"/>
        <w:autoSpaceDE w:val="0"/>
        <w:autoSpaceDN w:val="0"/>
        <w:adjustRightInd w:val="0"/>
      </w:pPr>
      <w:r>
        <w:t xml:space="preserve">The limitation on the discharge of total suspended solids (TSS) in Section 304.124(a) does not apply to the discharge from the ash pond system of </w:t>
      </w:r>
      <w:r w:rsidR="00330050">
        <w:t>Illinois Power Generation Company's</w:t>
      </w:r>
      <w:r>
        <w:t xml:space="preserve"> Newton Station, located in Jasper County.  Instead, </w:t>
      </w:r>
      <w:r w:rsidR="00330050" w:rsidRPr="00330050">
        <w:t>Illinois Power Generation Company’s</w:t>
      </w:r>
      <w:r>
        <w:t xml:space="preserve"> ash pond system discharge </w:t>
      </w:r>
      <w:r w:rsidR="00330050">
        <w:t>must</w:t>
      </w:r>
      <w:r>
        <w:t xml:space="preserve"> not exceed 30 </w:t>
      </w:r>
      <w:r w:rsidR="00330050">
        <w:t>mg/L</w:t>
      </w:r>
      <w:r>
        <w:t xml:space="preserve"> monthly average and 50 </w:t>
      </w:r>
      <w:r w:rsidR="00330050">
        <w:t>mg/L</w:t>
      </w:r>
      <w:r>
        <w:t xml:space="preserve"> daily composite for TSS, and 15 </w:t>
      </w:r>
      <w:r w:rsidR="00330050">
        <w:t>mg/L</w:t>
      </w:r>
      <w:r>
        <w:t xml:space="preserve"> monthly average and 30 </w:t>
      </w:r>
      <w:r w:rsidR="00330050">
        <w:t>mg/L</w:t>
      </w:r>
      <w:r>
        <w:t xml:space="preserve"> daily composite for non-volatile TSS. The definitions of Section 304.104(b) apply to these effluent limits. </w:t>
      </w:r>
    </w:p>
    <w:p w14:paraId="6F0CA2F2" w14:textId="77777777" w:rsidR="00C82482" w:rsidRDefault="00C82482" w:rsidP="00C82482">
      <w:pPr>
        <w:widowControl w:val="0"/>
        <w:autoSpaceDE w:val="0"/>
        <w:autoSpaceDN w:val="0"/>
        <w:adjustRightInd w:val="0"/>
      </w:pPr>
    </w:p>
    <w:p w14:paraId="52D4005E" w14:textId="3A429CED" w:rsidR="00C82482" w:rsidRDefault="00330050" w:rsidP="00C8248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F45DE">
        <w:t>7</w:t>
      </w:r>
      <w:r>
        <w:t xml:space="preserve"> Ill. Reg. </w:t>
      </w:r>
      <w:r w:rsidR="004C6604">
        <w:t>4601</w:t>
      </w:r>
      <w:r>
        <w:t xml:space="preserve">, effective </w:t>
      </w:r>
      <w:r w:rsidR="004C6604">
        <w:t>March 23, 2023</w:t>
      </w:r>
      <w:r>
        <w:t>)</w:t>
      </w:r>
    </w:p>
    <w:sectPr w:rsidR="00C82482" w:rsidSect="00C82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482"/>
    <w:rsid w:val="002F45DE"/>
    <w:rsid w:val="00330050"/>
    <w:rsid w:val="004C21BC"/>
    <w:rsid w:val="004C6604"/>
    <w:rsid w:val="005C3366"/>
    <w:rsid w:val="00A9681A"/>
    <w:rsid w:val="00B47C6A"/>
    <w:rsid w:val="00C82482"/>
    <w:rsid w:val="00E2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D1E195"/>
  <w15:docId w15:val="{4D3A9BA1-9774-47C5-9B2D-C89E2603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