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71" w:rsidRDefault="00F94D71" w:rsidP="00F94D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D71" w:rsidRDefault="00F94D71" w:rsidP="00F94D71">
      <w:pPr>
        <w:widowControl w:val="0"/>
        <w:autoSpaceDE w:val="0"/>
        <w:autoSpaceDN w:val="0"/>
        <w:adjustRightInd w:val="0"/>
        <w:jc w:val="center"/>
      </w:pPr>
      <w:r>
        <w:t>SUBPART C:  TEMPORARY EFFLUENT STANDARDS</w:t>
      </w:r>
    </w:p>
    <w:sectPr w:rsidR="00F94D71" w:rsidSect="00F94D7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D71"/>
    <w:rsid w:val="002121DD"/>
    <w:rsid w:val="00932A2C"/>
    <w:rsid w:val="00C92FBF"/>
    <w:rsid w:val="00D32F4D"/>
    <w:rsid w:val="00F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TEMPORARY EFFLUENT STANDARDS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TEMPORARY EFFLUENT STANDARDS</dc:title>
  <dc:subject/>
  <dc:creator>thomasvd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