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AE" w:rsidRDefault="001C1CAE" w:rsidP="001C1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CAE" w:rsidRDefault="001C1CAE" w:rsidP="001C1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307.1700  General Provisions</w:t>
      </w:r>
      <w:r>
        <w:t xml:space="preserve"> </w:t>
      </w:r>
    </w:p>
    <w:p w:rsidR="001C1CAE" w:rsidRDefault="001C1CAE" w:rsidP="001C1CAE">
      <w:pPr>
        <w:widowControl w:val="0"/>
        <w:autoSpaceDE w:val="0"/>
        <w:autoSpaceDN w:val="0"/>
        <w:adjustRightInd w:val="0"/>
      </w:pPr>
    </w:p>
    <w:p w:rsidR="001C1CAE" w:rsidRDefault="001C1CAE" w:rsidP="001C1CAE">
      <w:pPr>
        <w:widowControl w:val="0"/>
        <w:autoSpaceDE w:val="0"/>
        <w:autoSpaceDN w:val="0"/>
        <w:adjustRightInd w:val="0"/>
      </w:pPr>
      <w:r>
        <w:t xml:space="preserve">Proration.  When a plant is subject to limitations covering more than one subcategory, the plant discharge limitation </w:t>
      </w:r>
      <w:r w:rsidR="00B51531">
        <w:t>must</w:t>
      </w:r>
      <w:r>
        <w:t xml:space="preserve"> be set by proration limitations for each subcategory based on the total raw material covered by each subcategory. </w:t>
      </w:r>
    </w:p>
    <w:p w:rsidR="001C1CAE" w:rsidRDefault="001C1CAE" w:rsidP="001C1CAE">
      <w:pPr>
        <w:widowControl w:val="0"/>
        <w:autoSpaceDE w:val="0"/>
        <w:autoSpaceDN w:val="0"/>
        <w:adjustRightInd w:val="0"/>
      </w:pPr>
    </w:p>
    <w:p w:rsidR="00A16975" w:rsidRDefault="00A16975" w:rsidP="00A16975">
      <w:pPr>
        <w:pStyle w:val="JCARSourceNote"/>
        <w:ind w:firstLine="720"/>
      </w:pPr>
      <w:r>
        <w:t>(Source:  Amended at 28 Ill. Reg. 3076, effective February 6, 2004)</w:t>
      </w:r>
    </w:p>
    <w:sectPr w:rsidR="00A16975" w:rsidSect="001C1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CAE"/>
    <w:rsid w:val="001C1CAE"/>
    <w:rsid w:val="001E48ED"/>
    <w:rsid w:val="002C11D3"/>
    <w:rsid w:val="00311EAE"/>
    <w:rsid w:val="005C3366"/>
    <w:rsid w:val="00A16975"/>
    <w:rsid w:val="00AC7B5E"/>
    <w:rsid w:val="00B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1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