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1F" w:rsidRDefault="00DD3D1F" w:rsidP="00DD3D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D1F" w:rsidRDefault="00DD3D1F" w:rsidP="00DD3D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364.205  F3 Factor</w:t>
      </w:r>
      <w:r>
        <w:t xml:space="preserve"> </w:t>
      </w:r>
    </w:p>
    <w:p w:rsidR="00DD3D1F" w:rsidRDefault="00DD3D1F" w:rsidP="00DD3D1F">
      <w:pPr>
        <w:widowControl w:val="0"/>
        <w:autoSpaceDE w:val="0"/>
        <w:autoSpaceDN w:val="0"/>
        <w:adjustRightInd w:val="0"/>
      </w:pPr>
    </w:p>
    <w:p w:rsidR="00DD3D1F" w:rsidRDefault="00DD3D1F" w:rsidP="00DD3D1F">
      <w:pPr>
        <w:widowControl w:val="0"/>
        <w:autoSpaceDE w:val="0"/>
        <w:autoSpaceDN w:val="0"/>
        <w:adjustRightInd w:val="0"/>
      </w:pPr>
      <w:r>
        <w:t xml:space="preserve">F3 is a factor which evaluates the stream segment receiving the discharge. The evaluation is done through use of a Segment Ranking Index (SRI).  The SRI is calculated in accordance with Subpart C.  F3 is calculated as follows: </w:t>
      </w:r>
    </w:p>
    <w:p w:rsidR="00DD3D1F" w:rsidRDefault="00DD3D1F" w:rsidP="00DD3D1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20" w:type="dxa"/>
        <w:tblLook w:val="0000" w:firstRow="0" w:lastRow="0" w:firstColumn="0" w:lastColumn="0" w:noHBand="0" w:noVBand="0"/>
      </w:tblPr>
      <w:tblGrid>
        <w:gridCol w:w="513"/>
        <w:gridCol w:w="399"/>
        <w:gridCol w:w="2964"/>
      </w:tblGrid>
      <w:tr w:rsidR="0063522D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vAlign w:val="center"/>
          </w:tcPr>
          <w:p w:rsidR="0063522D" w:rsidRDefault="0063522D" w:rsidP="001D0FC8">
            <w:pPr>
              <w:widowControl w:val="0"/>
              <w:autoSpaceDE w:val="0"/>
              <w:autoSpaceDN w:val="0"/>
              <w:adjustRightInd w:val="0"/>
            </w:pPr>
            <w:r>
              <w:t>F3</w:t>
            </w:r>
          </w:p>
        </w:tc>
        <w:tc>
          <w:tcPr>
            <w:tcW w:w="399" w:type="dxa"/>
            <w:vMerge w:val="restart"/>
            <w:vAlign w:val="center"/>
          </w:tcPr>
          <w:p w:rsidR="0063522D" w:rsidRDefault="0063522D" w:rsidP="001D0FC8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63522D" w:rsidRDefault="0063522D" w:rsidP="001D0FC8">
            <w:pPr>
              <w:widowControl w:val="0"/>
              <w:autoSpaceDE w:val="0"/>
              <w:autoSpaceDN w:val="0"/>
              <w:adjustRightInd w:val="0"/>
            </w:pPr>
            <w:r>
              <w:t>SRI, receiving segment</w:t>
            </w:r>
          </w:p>
        </w:tc>
      </w:tr>
      <w:tr w:rsidR="0063522D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</w:tcPr>
          <w:p w:rsidR="0063522D" w:rsidRDefault="0063522D" w:rsidP="001D0F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  <w:vMerge/>
          </w:tcPr>
          <w:p w:rsidR="0063522D" w:rsidRDefault="0063522D" w:rsidP="001D0F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63522D" w:rsidRDefault="0063522D" w:rsidP="001D0FC8">
            <w:pPr>
              <w:widowControl w:val="0"/>
              <w:autoSpaceDE w:val="0"/>
              <w:autoSpaceDN w:val="0"/>
              <w:adjustRightInd w:val="0"/>
            </w:pPr>
            <w:r>
              <w:t>SRI, highest statewide value</w:t>
            </w:r>
          </w:p>
        </w:tc>
      </w:tr>
    </w:tbl>
    <w:p w:rsidR="0063522D" w:rsidRDefault="0063522D" w:rsidP="00DD3D1F">
      <w:pPr>
        <w:widowControl w:val="0"/>
        <w:autoSpaceDE w:val="0"/>
        <w:autoSpaceDN w:val="0"/>
        <w:adjustRightInd w:val="0"/>
      </w:pPr>
    </w:p>
    <w:sectPr w:rsidR="0063522D" w:rsidSect="00DD3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D1F"/>
    <w:rsid w:val="0013744C"/>
    <w:rsid w:val="001D0FC8"/>
    <w:rsid w:val="00336222"/>
    <w:rsid w:val="005C3366"/>
    <w:rsid w:val="00613986"/>
    <w:rsid w:val="0063522D"/>
    <w:rsid w:val="00D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364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