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79A" w:rsidRDefault="00CE679A" w:rsidP="00CE679A">
      <w:pPr>
        <w:widowControl w:val="0"/>
        <w:autoSpaceDE w:val="0"/>
        <w:autoSpaceDN w:val="0"/>
        <w:adjustRightInd w:val="0"/>
      </w:pPr>
      <w:bookmarkStart w:id="0" w:name="_GoBack"/>
      <w:bookmarkEnd w:id="0"/>
    </w:p>
    <w:p w:rsidR="00CE679A" w:rsidRDefault="00CE679A" w:rsidP="00CE679A">
      <w:pPr>
        <w:widowControl w:val="0"/>
        <w:autoSpaceDE w:val="0"/>
        <w:autoSpaceDN w:val="0"/>
        <w:adjustRightInd w:val="0"/>
      </w:pPr>
      <w:r>
        <w:rPr>
          <w:b/>
          <w:bCs/>
        </w:rPr>
        <w:t>Section 364.303  Population Factor</w:t>
      </w:r>
      <w:r>
        <w:t xml:space="preserve"> </w:t>
      </w:r>
    </w:p>
    <w:p w:rsidR="00CE679A" w:rsidRDefault="00CE679A" w:rsidP="00CE679A">
      <w:pPr>
        <w:widowControl w:val="0"/>
        <w:autoSpaceDE w:val="0"/>
        <w:autoSpaceDN w:val="0"/>
        <w:adjustRightInd w:val="0"/>
      </w:pPr>
    </w:p>
    <w:p w:rsidR="00CE679A" w:rsidRDefault="00CE679A" w:rsidP="00CE679A">
      <w:pPr>
        <w:widowControl w:val="0"/>
        <w:autoSpaceDE w:val="0"/>
        <w:autoSpaceDN w:val="0"/>
        <w:adjustRightInd w:val="0"/>
        <w:ind w:left="1440" w:hanging="720"/>
      </w:pPr>
      <w:r>
        <w:t>a)</w:t>
      </w:r>
      <w:r>
        <w:tab/>
        <w:t xml:space="preserve">Under this factor, populations are computed for each segment and converted into an adjustment factor.  The population of a segment is defined by the 1980 U.S. census population of the segment except where inter-segment transfers of sewage occur, in which case the estimated population whose sewage is tributary to the segment is added to the resident population of the segment.  Population figures of the incorporated and unincorporated communities are recorded for each segment. Where a segment boundary splits a township, the unincorporated population within the segment is prorated by applying a percentage of the township population equal to the ratio of the segment area in the township to the total township area.  The populations of the various political subdivisions within each segment are totaled. </w:t>
      </w:r>
    </w:p>
    <w:p w:rsidR="00A66970" w:rsidRDefault="00A66970" w:rsidP="00CE679A">
      <w:pPr>
        <w:widowControl w:val="0"/>
        <w:autoSpaceDE w:val="0"/>
        <w:autoSpaceDN w:val="0"/>
        <w:adjustRightInd w:val="0"/>
        <w:ind w:left="1440" w:hanging="720"/>
      </w:pPr>
    </w:p>
    <w:p w:rsidR="00CE679A" w:rsidRDefault="00CE679A" w:rsidP="00CE679A">
      <w:pPr>
        <w:widowControl w:val="0"/>
        <w:autoSpaceDE w:val="0"/>
        <w:autoSpaceDN w:val="0"/>
        <w:adjustRightInd w:val="0"/>
        <w:ind w:left="1440" w:hanging="720"/>
      </w:pPr>
      <w:r>
        <w:t>b)</w:t>
      </w:r>
      <w:r>
        <w:tab/>
        <w:t xml:space="preserve">The following population factors are applied as multipliers to the water quality index values: </w:t>
      </w:r>
    </w:p>
    <w:p w:rsidR="00CE679A" w:rsidRDefault="00CE679A" w:rsidP="00CE679A">
      <w:pPr>
        <w:widowControl w:val="0"/>
        <w:autoSpaceDE w:val="0"/>
        <w:autoSpaceDN w:val="0"/>
        <w:adjustRightInd w:val="0"/>
      </w:pPr>
    </w:p>
    <w:tbl>
      <w:tblPr>
        <w:tblW w:w="0" w:type="auto"/>
        <w:tblInd w:w="1533" w:type="dxa"/>
        <w:tblLayout w:type="fixed"/>
        <w:tblLook w:val="0000" w:firstRow="0" w:lastRow="0" w:firstColumn="0" w:lastColumn="0" w:noHBand="0" w:noVBand="0"/>
      </w:tblPr>
      <w:tblGrid>
        <w:gridCol w:w="1197"/>
        <w:gridCol w:w="240"/>
        <w:gridCol w:w="1071"/>
        <w:gridCol w:w="2166"/>
      </w:tblGrid>
      <w:tr w:rsidR="00066367" w:rsidRPr="00066367">
        <w:tblPrEx>
          <w:tblCellMar>
            <w:top w:w="0" w:type="dxa"/>
            <w:bottom w:w="0" w:type="dxa"/>
          </w:tblCellMar>
        </w:tblPrEx>
        <w:trPr>
          <w:trHeight w:val="462"/>
        </w:trPr>
        <w:tc>
          <w:tcPr>
            <w:tcW w:w="2508" w:type="dxa"/>
            <w:gridSpan w:val="3"/>
          </w:tcPr>
          <w:p w:rsidR="00066367" w:rsidRPr="00066367" w:rsidRDefault="00066367" w:rsidP="00066367">
            <w:pPr>
              <w:widowControl w:val="0"/>
              <w:autoSpaceDE w:val="0"/>
              <w:autoSpaceDN w:val="0"/>
              <w:adjustRightInd w:val="0"/>
              <w:jc w:val="center"/>
            </w:pPr>
            <w:r w:rsidRPr="00066367">
              <w:t>Segment Population</w:t>
            </w:r>
          </w:p>
        </w:tc>
        <w:tc>
          <w:tcPr>
            <w:tcW w:w="2166" w:type="dxa"/>
          </w:tcPr>
          <w:p w:rsidR="00066367" w:rsidRPr="00066367" w:rsidRDefault="00066367" w:rsidP="00066367">
            <w:pPr>
              <w:widowControl w:val="0"/>
              <w:autoSpaceDE w:val="0"/>
              <w:autoSpaceDN w:val="0"/>
              <w:adjustRightInd w:val="0"/>
              <w:jc w:val="center"/>
            </w:pPr>
            <w:r w:rsidRPr="00066367">
              <w:t>Population Factor</w:t>
            </w:r>
          </w:p>
        </w:tc>
      </w:tr>
      <w:tr w:rsidR="00066367" w:rsidRPr="00066367">
        <w:tblPrEx>
          <w:tblCellMar>
            <w:top w:w="0" w:type="dxa"/>
            <w:bottom w:w="0" w:type="dxa"/>
          </w:tblCellMar>
        </w:tblPrEx>
        <w:tc>
          <w:tcPr>
            <w:tcW w:w="1197" w:type="dxa"/>
          </w:tcPr>
          <w:p w:rsidR="00066367" w:rsidRPr="00066367" w:rsidRDefault="00066367" w:rsidP="00066367">
            <w:pPr>
              <w:widowControl w:val="0"/>
              <w:autoSpaceDE w:val="0"/>
              <w:autoSpaceDN w:val="0"/>
              <w:adjustRightInd w:val="0"/>
              <w:ind w:right="-78"/>
              <w:jc w:val="right"/>
            </w:pPr>
            <w:r>
              <w:t>0</w:t>
            </w:r>
          </w:p>
        </w:tc>
        <w:tc>
          <w:tcPr>
            <w:tcW w:w="240" w:type="dxa"/>
          </w:tcPr>
          <w:p w:rsidR="00066367" w:rsidRPr="00066367" w:rsidRDefault="00066367" w:rsidP="00066367">
            <w:pPr>
              <w:widowControl w:val="0"/>
              <w:autoSpaceDE w:val="0"/>
              <w:autoSpaceDN w:val="0"/>
              <w:adjustRightInd w:val="0"/>
              <w:ind w:right="810"/>
              <w:jc w:val="right"/>
            </w:pPr>
            <w:r>
              <w:t>-</w:t>
            </w:r>
          </w:p>
        </w:tc>
        <w:tc>
          <w:tcPr>
            <w:tcW w:w="1071" w:type="dxa"/>
          </w:tcPr>
          <w:p w:rsidR="00066367" w:rsidRPr="00066367" w:rsidRDefault="00066367" w:rsidP="00066367">
            <w:pPr>
              <w:widowControl w:val="0"/>
              <w:autoSpaceDE w:val="0"/>
              <w:autoSpaceDN w:val="0"/>
              <w:adjustRightInd w:val="0"/>
              <w:ind w:left="-111" w:right="83"/>
              <w:jc w:val="right"/>
            </w:pPr>
            <w:r>
              <w:t>20,000</w:t>
            </w:r>
          </w:p>
        </w:tc>
        <w:tc>
          <w:tcPr>
            <w:tcW w:w="2166" w:type="dxa"/>
          </w:tcPr>
          <w:p w:rsidR="00066367" w:rsidRPr="00066367" w:rsidRDefault="00066367" w:rsidP="00066367">
            <w:pPr>
              <w:widowControl w:val="0"/>
              <w:autoSpaceDE w:val="0"/>
              <w:autoSpaceDN w:val="0"/>
              <w:adjustRightInd w:val="0"/>
              <w:jc w:val="center"/>
            </w:pPr>
            <w:r w:rsidRPr="00066367">
              <w:t>1.00</w:t>
            </w:r>
          </w:p>
        </w:tc>
      </w:tr>
      <w:tr w:rsidR="00066367" w:rsidRPr="00066367">
        <w:tblPrEx>
          <w:tblCellMar>
            <w:top w:w="0" w:type="dxa"/>
            <w:bottom w:w="0" w:type="dxa"/>
          </w:tblCellMar>
        </w:tblPrEx>
        <w:tc>
          <w:tcPr>
            <w:tcW w:w="1197" w:type="dxa"/>
          </w:tcPr>
          <w:p w:rsidR="00066367" w:rsidRPr="00066367" w:rsidRDefault="00066367" w:rsidP="00066367">
            <w:pPr>
              <w:widowControl w:val="0"/>
              <w:autoSpaceDE w:val="0"/>
              <w:autoSpaceDN w:val="0"/>
              <w:adjustRightInd w:val="0"/>
              <w:ind w:right="-78"/>
              <w:jc w:val="right"/>
            </w:pPr>
            <w:r>
              <w:t>20,001</w:t>
            </w:r>
          </w:p>
        </w:tc>
        <w:tc>
          <w:tcPr>
            <w:tcW w:w="240" w:type="dxa"/>
          </w:tcPr>
          <w:p w:rsidR="00066367" w:rsidRPr="00066367" w:rsidRDefault="00066367" w:rsidP="00066367">
            <w:pPr>
              <w:widowControl w:val="0"/>
              <w:autoSpaceDE w:val="0"/>
              <w:autoSpaceDN w:val="0"/>
              <w:adjustRightInd w:val="0"/>
              <w:ind w:right="810"/>
              <w:jc w:val="right"/>
            </w:pPr>
            <w:r>
              <w:t>-</w:t>
            </w:r>
          </w:p>
        </w:tc>
        <w:tc>
          <w:tcPr>
            <w:tcW w:w="1071" w:type="dxa"/>
          </w:tcPr>
          <w:p w:rsidR="00066367" w:rsidRPr="00066367" w:rsidRDefault="00066367" w:rsidP="00066367">
            <w:pPr>
              <w:widowControl w:val="0"/>
              <w:autoSpaceDE w:val="0"/>
              <w:autoSpaceDN w:val="0"/>
              <w:adjustRightInd w:val="0"/>
              <w:ind w:left="-111" w:right="83"/>
              <w:jc w:val="right"/>
            </w:pPr>
            <w:r>
              <w:t>50,000</w:t>
            </w:r>
          </w:p>
        </w:tc>
        <w:tc>
          <w:tcPr>
            <w:tcW w:w="2166" w:type="dxa"/>
          </w:tcPr>
          <w:p w:rsidR="00066367" w:rsidRPr="00066367" w:rsidRDefault="00066367" w:rsidP="00066367">
            <w:pPr>
              <w:widowControl w:val="0"/>
              <w:autoSpaceDE w:val="0"/>
              <w:autoSpaceDN w:val="0"/>
              <w:adjustRightInd w:val="0"/>
              <w:jc w:val="center"/>
            </w:pPr>
            <w:r w:rsidRPr="00066367">
              <w:t>1.05</w:t>
            </w:r>
          </w:p>
        </w:tc>
      </w:tr>
      <w:tr w:rsidR="00066367" w:rsidRPr="00066367">
        <w:tblPrEx>
          <w:tblCellMar>
            <w:top w:w="0" w:type="dxa"/>
            <w:bottom w:w="0" w:type="dxa"/>
          </w:tblCellMar>
        </w:tblPrEx>
        <w:tc>
          <w:tcPr>
            <w:tcW w:w="1197" w:type="dxa"/>
          </w:tcPr>
          <w:p w:rsidR="00066367" w:rsidRPr="00066367" w:rsidRDefault="00066367" w:rsidP="00066367">
            <w:pPr>
              <w:widowControl w:val="0"/>
              <w:autoSpaceDE w:val="0"/>
              <w:autoSpaceDN w:val="0"/>
              <w:adjustRightInd w:val="0"/>
              <w:ind w:right="-78"/>
              <w:jc w:val="right"/>
            </w:pPr>
            <w:r>
              <w:t>50,001</w:t>
            </w:r>
          </w:p>
        </w:tc>
        <w:tc>
          <w:tcPr>
            <w:tcW w:w="240" w:type="dxa"/>
          </w:tcPr>
          <w:p w:rsidR="00066367" w:rsidRPr="00066367" w:rsidRDefault="00066367" w:rsidP="00066367">
            <w:pPr>
              <w:widowControl w:val="0"/>
              <w:autoSpaceDE w:val="0"/>
              <w:autoSpaceDN w:val="0"/>
              <w:adjustRightInd w:val="0"/>
              <w:ind w:right="810"/>
              <w:jc w:val="right"/>
            </w:pPr>
            <w:r>
              <w:t>-</w:t>
            </w:r>
          </w:p>
        </w:tc>
        <w:tc>
          <w:tcPr>
            <w:tcW w:w="1071" w:type="dxa"/>
          </w:tcPr>
          <w:p w:rsidR="00066367" w:rsidRPr="00066367" w:rsidRDefault="00066367" w:rsidP="00066367">
            <w:pPr>
              <w:widowControl w:val="0"/>
              <w:autoSpaceDE w:val="0"/>
              <w:autoSpaceDN w:val="0"/>
              <w:adjustRightInd w:val="0"/>
              <w:ind w:left="-111" w:right="83"/>
              <w:jc w:val="right"/>
            </w:pPr>
            <w:r>
              <w:t>100,000</w:t>
            </w:r>
          </w:p>
        </w:tc>
        <w:tc>
          <w:tcPr>
            <w:tcW w:w="2166" w:type="dxa"/>
          </w:tcPr>
          <w:p w:rsidR="00066367" w:rsidRPr="00066367" w:rsidRDefault="00066367" w:rsidP="00066367">
            <w:pPr>
              <w:widowControl w:val="0"/>
              <w:autoSpaceDE w:val="0"/>
              <w:autoSpaceDN w:val="0"/>
              <w:adjustRightInd w:val="0"/>
              <w:jc w:val="center"/>
            </w:pPr>
            <w:r w:rsidRPr="00066367">
              <w:t>1.10</w:t>
            </w:r>
          </w:p>
        </w:tc>
      </w:tr>
      <w:tr w:rsidR="00066367" w:rsidRPr="00066367">
        <w:tblPrEx>
          <w:tblCellMar>
            <w:top w:w="0" w:type="dxa"/>
            <w:bottom w:w="0" w:type="dxa"/>
          </w:tblCellMar>
        </w:tblPrEx>
        <w:tc>
          <w:tcPr>
            <w:tcW w:w="2508" w:type="dxa"/>
            <w:gridSpan w:val="3"/>
          </w:tcPr>
          <w:p w:rsidR="00066367" w:rsidRPr="00066367" w:rsidRDefault="00066367" w:rsidP="00066367">
            <w:pPr>
              <w:widowControl w:val="0"/>
              <w:autoSpaceDE w:val="0"/>
              <w:autoSpaceDN w:val="0"/>
              <w:adjustRightInd w:val="0"/>
              <w:ind w:left="-111" w:right="108"/>
              <w:jc w:val="right"/>
            </w:pPr>
            <w:r>
              <w:t>OVER 100,000</w:t>
            </w:r>
          </w:p>
        </w:tc>
        <w:tc>
          <w:tcPr>
            <w:tcW w:w="2166" w:type="dxa"/>
          </w:tcPr>
          <w:p w:rsidR="00066367" w:rsidRPr="00066367" w:rsidRDefault="00066367" w:rsidP="00066367">
            <w:pPr>
              <w:widowControl w:val="0"/>
              <w:autoSpaceDE w:val="0"/>
              <w:autoSpaceDN w:val="0"/>
              <w:adjustRightInd w:val="0"/>
              <w:jc w:val="center"/>
            </w:pPr>
            <w:r w:rsidRPr="00066367">
              <w:t>1.20</w:t>
            </w:r>
          </w:p>
        </w:tc>
      </w:tr>
    </w:tbl>
    <w:p w:rsidR="00CE679A" w:rsidRDefault="00CE679A" w:rsidP="00CE679A">
      <w:pPr>
        <w:widowControl w:val="0"/>
        <w:autoSpaceDE w:val="0"/>
        <w:autoSpaceDN w:val="0"/>
        <w:adjustRightInd w:val="0"/>
      </w:pPr>
    </w:p>
    <w:sectPr w:rsidR="00CE679A" w:rsidSect="00CE67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679A"/>
    <w:rsid w:val="00066367"/>
    <w:rsid w:val="00161B3D"/>
    <w:rsid w:val="003F0078"/>
    <w:rsid w:val="005C3366"/>
    <w:rsid w:val="00A66970"/>
    <w:rsid w:val="00CE0A9C"/>
    <w:rsid w:val="00CE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364</vt:lpstr>
    </vt:vector>
  </TitlesOfParts>
  <Company>State of Illinois</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364</dc:title>
  <dc:subject/>
  <dc:creator>Illinois General Assembly</dc:creator>
  <cp:keywords/>
  <dc:description/>
  <cp:lastModifiedBy>Roberts, John</cp:lastModifiedBy>
  <cp:revision>3</cp:revision>
  <dcterms:created xsi:type="dcterms:W3CDTF">2012-06-21T20:35:00Z</dcterms:created>
  <dcterms:modified xsi:type="dcterms:W3CDTF">2012-06-21T20:35:00Z</dcterms:modified>
</cp:coreProperties>
</file>