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20" w:rsidRDefault="005D4D20" w:rsidP="005D4D20">
      <w:pPr>
        <w:widowControl w:val="0"/>
        <w:autoSpaceDE w:val="0"/>
        <w:autoSpaceDN w:val="0"/>
        <w:adjustRightInd w:val="0"/>
      </w:pPr>
      <w:bookmarkStart w:id="0" w:name="_GoBack"/>
      <w:bookmarkEnd w:id="0"/>
    </w:p>
    <w:p w:rsidR="005D4D20" w:rsidRDefault="005D4D20" w:rsidP="005D4D20">
      <w:pPr>
        <w:widowControl w:val="0"/>
        <w:autoSpaceDE w:val="0"/>
        <w:autoSpaceDN w:val="0"/>
        <w:adjustRightInd w:val="0"/>
      </w:pPr>
      <w:r>
        <w:rPr>
          <w:b/>
          <w:bCs/>
        </w:rPr>
        <w:t>Section 366.402  C1 Factor (Financial Impact)</w:t>
      </w:r>
      <w:r>
        <w:t xml:space="preserve"> </w:t>
      </w:r>
    </w:p>
    <w:p w:rsidR="005D4D20" w:rsidRDefault="005D4D20" w:rsidP="005D4D20">
      <w:pPr>
        <w:widowControl w:val="0"/>
        <w:autoSpaceDE w:val="0"/>
        <w:autoSpaceDN w:val="0"/>
        <w:adjustRightInd w:val="0"/>
      </w:pPr>
    </w:p>
    <w:p w:rsidR="005D4D20" w:rsidRDefault="005D4D20" w:rsidP="005D4D20">
      <w:pPr>
        <w:widowControl w:val="0"/>
        <w:autoSpaceDE w:val="0"/>
        <w:autoSpaceDN w:val="0"/>
        <w:adjustRightInd w:val="0"/>
      </w:pPr>
      <w:r>
        <w:t xml:space="preserve">C1 is a factor that </w:t>
      </w:r>
      <w:r w:rsidR="006E5720">
        <w:t xml:space="preserve">adds points for applicants that have higher rates of unemployment (as provided by the </w:t>
      </w:r>
      <w:r w:rsidR="001F66D6">
        <w:t>Illinois</w:t>
      </w:r>
      <w:r w:rsidR="006E5720">
        <w:t xml:space="preserve"> Department of Employment Security) and includes points for Median Household Income and the Percentage of Persons in Poverty as determined by U.S. Census figures as incorporated by reference in Section 366.103 of this Part.  The financial hardship factor is calculated by adding the sum of the three components from the following charts:  </w:t>
      </w:r>
    </w:p>
    <w:p w:rsidR="00F24577" w:rsidRDefault="00F24577" w:rsidP="005D4D20">
      <w:pPr>
        <w:widowControl w:val="0"/>
        <w:autoSpaceDE w:val="0"/>
        <w:autoSpaceDN w:val="0"/>
        <w:adjustRightInd w:val="0"/>
      </w:pPr>
    </w:p>
    <w:tbl>
      <w:tblPr>
        <w:tblW w:w="0" w:type="auto"/>
        <w:tblLook w:val="0000" w:firstRow="0" w:lastRow="0" w:firstColumn="0" w:lastColumn="0" w:noHBand="0" w:noVBand="0"/>
      </w:tblPr>
      <w:tblGrid>
        <w:gridCol w:w="4788"/>
        <w:gridCol w:w="4788"/>
      </w:tblGrid>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Percentage of Statewide Median</w:t>
            </w:r>
          </w:p>
          <w:p w:rsidR="00F24577" w:rsidRDefault="00F24577" w:rsidP="00F24577">
            <w:pPr>
              <w:widowControl w:val="0"/>
              <w:autoSpaceDE w:val="0"/>
              <w:autoSpaceDN w:val="0"/>
              <w:adjustRightInd w:val="0"/>
              <w:jc w:val="center"/>
            </w:pPr>
            <w:r>
              <w:t>Household Income</w:t>
            </w:r>
          </w:p>
        </w:tc>
        <w:tc>
          <w:tcPr>
            <w:tcW w:w="4788" w:type="dxa"/>
            <w:vAlign w:val="bottom"/>
          </w:tcPr>
          <w:p w:rsidR="00F24577" w:rsidRDefault="00F24577" w:rsidP="00F24577">
            <w:pPr>
              <w:widowControl w:val="0"/>
              <w:autoSpaceDE w:val="0"/>
              <w:autoSpaceDN w:val="0"/>
              <w:adjustRightInd w:val="0"/>
              <w:jc w:val="center"/>
            </w:pPr>
            <w:r>
              <w:t>Points</w:t>
            </w:r>
          </w:p>
        </w:tc>
      </w:tr>
      <w:tr w:rsidR="00F24577">
        <w:tblPrEx>
          <w:tblCellMar>
            <w:top w:w="0" w:type="dxa"/>
            <w:bottom w:w="0" w:type="dxa"/>
          </w:tblCellMar>
        </w:tblPrEx>
        <w:tc>
          <w:tcPr>
            <w:tcW w:w="4788" w:type="dxa"/>
          </w:tcPr>
          <w:p w:rsidR="00F24577" w:rsidRDefault="00F24577" w:rsidP="005D4D20">
            <w:pPr>
              <w:widowControl w:val="0"/>
              <w:autoSpaceDE w:val="0"/>
              <w:autoSpaceDN w:val="0"/>
              <w:adjustRightInd w:val="0"/>
            </w:pPr>
          </w:p>
        </w:tc>
        <w:tc>
          <w:tcPr>
            <w:tcW w:w="4788" w:type="dxa"/>
          </w:tcPr>
          <w:p w:rsidR="00F24577" w:rsidRDefault="00F24577" w:rsidP="00F24577">
            <w:pPr>
              <w:widowControl w:val="0"/>
              <w:autoSpaceDE w:val="0"/>
              <w:autoSpaceDN w:val="0"/>
              <w:adjustRightInd w:val="0"/>
              <w:jc w:val="center"/>
            </w:pPr>
          </w:p>
        </w:tc>
      </w:tr>
      <w:tr w:rsidR="00F24577">
        <w:tblPrEx>
          <w:tblCellMar>
            <w:top w:w="0" w:type="dxa"/>
            <w:bottom w:w="0" w:type="dxa"/>
          </w:tblCellMar>
        </w:tblPrEx>
        <w:tc>
          <w:tcPr>
            <w:tcW w:w="4788" w:type="dxa"/>
          </w:tcPr>
          <w:p w:rsidR="00F24577" w:rsidRDefault="00F24577" w:rsidP="005D4D20">
            <w:pPr>
              <w:widowControl w:val="0"/>
              <w:autoSpaceDE w:val="0"/>
              <w:autoSpaceDN w:val="0"/>
              <w:adjustRightInd w:val="0"/>
            </w:pPr>
            <w:r>
              <w:t>Below 80%</w:t>
            </w:r>
          </w:p>
        </w:tc>
        <w:tc>
          <w:tcPr>
            <w:tcW w:w="4788" w:type="dxa"/>
          </w:tcPr>
          <w:p w:rsidR="00F24577" w:rsidRDefault="00F24577" w:rsidP="00F24577">
            <w:pPr>
              <w:widowControl w:val="0"/>
              <w:autoSpaceDE w:val="0"/>
              <w:autoSpaceDN w:val="0"/>
              <w:adjustRightInd w:val="0"/>
              <w:jc w:val="center"/>
            </w:pPr>
            <w:r>
              <w:t>4.0</w:t>
            </w:r>
          </w:p>
        </w:tc>
      </w:tr>
      <w:tr w:rsidR="00F24577">
        <w:tblPrEx>
          <w:tblCellMar>
            <w:top w:w="0" w:type="dxa"/>
            <w:bottom w:w="0" w:type="dxa"/>
          </w:tblCellMar>
        </w:tblPrEx>
        <w:tc>
          <w:tcPr>
            <w:tcW w:w="4788" w:type="dxa"/>
          </w:tcPr>
          <w:p w:rsidR="00F24577" w:rsidRDefault="00F24577" w:rsidP="005D4D20">
            <w:pPr>
              <w:widowControl w:val="0"/>
              <w:autoSpaceDE w:val="0"/>
              <w:autoSpaceDN w:val="0"/>
              <w:adjustRightInd w:val="0"/>
            </w:pPr>
            <w:r>
              <w:t>80% to 100%</w:t>
            </w:r>
          </w:p>
        </w:tc>
        <w:tc>
          <w:tcPr>
            <w:tcW w:w="4788" w:type="dxa"/>
          </w:tcPr>
          <w:p w:rsidR="00F24577" w:rsidRDefault="00F24577" w:rsidP="00F24577">
            <w:pPr>
              <w:widowControl w:val="0"/>
              <w:autoSpaceDE w:val="0"/>
              <w:autoSpaceDN w:val="0"/>
              <w:adjustRightInd w:val="0"/>
              <w:jc w:val="center"/>
            </w:pPr>
            <w:r>
              <w:t>3.0</w:t>
            </w:r>
          </w:p>
        </w:tc>
      </w:tr>
      <w:tr w:rsidR="00F24577">
        <w:tblPrEx>
          <w:tblCellMar>
            <w:top w:w="0" w:type="dxa"/>
            <w:bottom w:w="0" w:type="dxa"/>
          </w:tblCellMar>
        </w:tblPrEx>
        <w:tc>
          <w:tcPr>
            <w:tcW w:w="4788" w:type="dxa"/>
          </w:tcPr>
          <w:p w:rsidR="00F24577" w:rsidRDefault="00F24577" w:rsidP="005D4D20">
            <w:pPr>
              <w:widowControl w:val="0"/>
              <w:autoSpaceDE w:val="0"/>
              <w:autoSpaceDN w:val="0"/>
              <w:adjustRightInd w:val="0"/>
            </w:pPr>
            <w:r>
              <w:t>Greater than 100% to 120%</w:t>
            </w:r>
          </w:p>
        </w:tc>
        <w:tc>
          <w:tcPr>
            <w:tcW w:w="4788" w:type="dxa"/>
          </w:tcPr>
          <w:p w:rsidR="00F24577" w:rsidRDefault="00F24577" w:rsidP="00F24577">
            <w:pPr>
              <w:widowControl w:val="0"/>
              <w:autoSpaceDE w:val="0"/>
              <w:autoSpaceDN w:val="0"/>
              <w:adjustRightInd w:val="0"/>
              <w:jc w:val="center"/>
            </w:pPr>
            <w:r>
              <w:t>2.0</w:t>
            </w:r>
          </w:p>
        </w:tc>
      </w:tr>
      <w:tr w:rsidR="00F24577">
        <w:tblPrEx>
          <w:tblCellMar>
            <w:top w:w="0" w:type="dxa"/>
            <w:bottom w:w="0" w:type="dxa"/>
          </w:tblCellMar>
        </w:tblPrEx>
        <w:tc>
          <w:tcPr>
            <w:tcW w:w="4788" w:type="dxa"/>
          </w:tcPr>
          <w:p w:rsidR="00F24577" w:rsidRDefault="00F24577" w:rsidP="005D4D20">
            <w:pPr>
              <w:widowControl w:val="0"/>
              <w:autoSpaceDE w:val="0"/>
              <w:autoSpaceDN w:val="0"/>
              <w:adjustRightInd w:val="0"/>
            </w:pPr>
            <w:r>
              <w:t>Greater than 120%</w:t>
            </w:r>
          </w:p>
        </w:tc>
        <w:tc>
          <w:tcPr>
            <w:tcW w:w="4788" w:type="dxa"/>
          </w:tcPr>
          <w:p w:rsidR="00F24577" w:rsidRDefault="00F24577" w:rsidP="00F24577">
            <w:pPr>
              <w:widowControl w:val="0"/>
              <w:autoSpaceDE w:val="0"/>
              <w:autoSpaceDN w:val="0"/>
              <w:adjustRightInd w:val="0"/>
              <w:jc w:val="center"/>
            </w:pPr>
            <w:r>
              <w:t>1.0</w:t>
            </w:r>
          </w:p>
        </w:tc>
      </w:tr>
    </w:tbl>
    <w:p w:rsidR="00F24577" w:rsidRDefault="00F24577" w:rsidP="005D4D20">
      <w:pPr>
        <w:widowControl w:val="0"/>
        <w:autoSpaceDE w:val="0"/>
        <w:autoSpaceDN w:val="0"/>
        <w:adjustRightInd w:val="0"/>
      </w:pPr>
    </w:p>
    <w:p w:rsidR="00F24577" w:rsidRDefault="00F24577" w:rsidP="005D4D20">
      <w:pPr>
        <w:widowControl w:val="0"/>
        <w:autoSpaceDE w:val="0"/>
        <w:autoSpaceDN w:val="0"/>
        <w:adjustRightInd w:val="0"/>
      </w:pPr>
      <w:r>
        <w:t>The percentage of unemployment above the State’s average rate of unemployment:</w:t>
      </w:r>
    </w:p>
    <w:p w:rsidR="00F24577" w:rsidRDefault="00F24577" w:rsidP="005D4D20">
      <w:pPr>
        <w:widowControl w:val="0"/>
        <w:autoSpaceDE w:val="0"/>
        <w:autoSpaceDN w:val="0"/>
        <w:adjustRightInd w:val="0"/>
      </w:pPr>
    </w:p>
    <w:tbl>
      <w:tblPr>
        <w:tblW w:w="0" w:type="auto"/>
        <w:tblLook w:val="0000" w:firstRow="0" w:lastRow="0" w:firstColumn="0" w:lastColumn="0" w:noHBand="0" w:noVBand="0"/>
      </w:tblPr>
      <w:tblGrid>
        <w:gridCol w:w="4788"/>
        <w:gridCol w:w="4788"/>
      </w:tblGrid>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Percentage above State Rate</w:t>
            </w:r>
          </w:p>
        </w:tc>
        <w:tc>
          <w:tcPr>
            <w:tcW w:w="4788" w:type="dxa"/>
          </w:tcPr>
          <w:p w:rsidR="00F24577" w:rsidRDefault="00F24577" w:rsidP="00F24577">
            <w:pPr>
              <w:widowControl w:val="0"/>
              <w:autoSpaceDE w:val="0"/>
              <w:autoSpaceDN w:val="0"/>
              <w:adjustRightInd w:val="0"/>
              <w:jc w:val="center"/>
            </w:pPr>
            <w:r>
              <w:t>Points</w:t>
            </w:r>
          </w:p>
        </w:tc>
      </w:tr>
      <w:tr w:rsidR="00F24577">
        <w:tblPrEx>
          <w:tblCellMar>
            <w:top w:w="0" w:type="dxa"/>
            <w:bottom w:w="0" w:type="dxa"/>
          </w:tblCellMar>
        </w:tblPrEx>
        <w:tc>
          <w:tcPr>
            <w:tcW w:w="4788" w:type="dxa"/>
          </w:tcPr>
          <w:p w:rsidR="00F24577" w:rsidRDefault="00F24577" w:rsidP="005D4D20">
            <w:pPr>
              <w:widowControl w:val="0"/>
              <w:autoSpaceDE w:val="0"/>
              <w:autoSpaceDN w:val="0"/>
              <w:adjustRightInd w:val="0"/>
            </w:pPr>
          </w:p>
        </w:tc>
        <w:tc>
          <w:tcPr>
            <w:tcW w:w="4788" w:type="dxa"/>
          </w:tcPr>
          <w:p w:rsidR="00F24577" w:rsidRDefault="00F24577" w:rsidP="005D4D20">
            <w:pPr>
              <w:widowControl w:val="0"/>
              <w:autoSpaceDE w:val="0"/>
              <w:autoSpaceDN w:val="0"/>
              <w:adjustRightInd w:val="0"/>
            </w:pP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 xml:space="preserve">0.1 </w:t>
            </w:r>
            <w:r w:rsidR="001F66D6">
              <w:t xml:space="preserve">- </w:t>
            </w:r>
            <w:r>
              <w:t>2.0</w:t>
            </w:r>
          </w:p>
        </w:tc>
        <w:tc>
          <w:tcPr>
            <w:tcW w:w="4788" w:type="dxa"/>
          </w:tcPr>
          <w:p w:rsidR="00F24577" w:rsidRDefault="00F24577" w:rsidP="00F24577">
            <w:pPr>
              <w:widowControl w:val="0"/>
              <w:autoSpaceDE w:val="0"/>
              <w:autoSpaceDN w:val="0"/>
              <w:adjustRightInd w:val="0"/>
              <w:jc w:val="center"/>
            </w:pPr>
            <w:r>
              <w:t>1.0</w:t>
            </w: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 xml:space="preserve">2.1 </w:t>
            </w:r>
            <w:r w:rsidR="001F66D6">
              <w:t>-</w:t>
            </w:r>
            <w:r>
              <w:t xml:space="preserve"> 4.0</w:t>
            </w:r>
          </w:p>
        </w:tc>
        <w:tc>
          <w:tcPr>
            <w:tcW w:w="4788" w:type="dxa"/>
          </w:tcPr>
          <w:p w:rsidR="00F24577" w:rsidRDefault="00F24577" w:rsidP="00F24577">
            <w:pPr>
              <w:widowControl w:val="0"/>
              <w:autoSpaceDE w:val="0"/>
              <w:autoSpaceDN w:val="0"/>
              <w:adjustRightInd w:val="0"/>
              <w:jc w:val="center"/>
            </w:pPr>
            <w:r>
              <w:t>2.0</w:t>
            </w: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 xml:space="preserve">4.1 </w:t>
            </w:r>
            <w:r w:rsidR="001F66D6">
              <w:t>-</w:t>
            </w:r>
            <w:r>
              <w:t xml:space="preserve"> 6.0</w:t>
            </w:r>
          </w:p>
        </w:tc>
        <w:tc>
          <w:tcPr>
            <w:tcW w:w="4788" w:type="dxa"/>
          </w:tcPr>
          <w:p w:rsidR="00F24577" w:rsidRDefault="00F24577" w:rsidP="00F24577">
            <w:pPr>
              <w:widowControl w:val="0"/>
              <w:autoSpaceDE w:val="0"/>
              <w:autoSpaceDN w:val="0"/>
              <w:adjustRightInd w:val="0"/>
              <w:jc w:val="center"/>
            </w:pPr>
            <w:r>
              <w:t>3.0</w:t>
            </w: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6.1 and above</w:t>
            </w:r>
          </w:p>
        </w:tc>
        <w:tc>
          <w:tcPr>
            <w:tcW w:w="4788" w:type="dxa"/>
          </w:tcPr>
          <w:p w:rsidR="00F24577" w:rsidRDefault="00F24577" w:rsidP="00F24577">
            <w:pPr>
              <w:widowControl w:val="0"/>
              <w:autoSpaceDE w:val="0"/>
              <w:autoSpaceDN w:val="0"/>
              <w:adjustRightInd w:val="0"/>
              <w:jc w:val="center"/>
            </w:pPr>
            <w:r>
              <w:t>4.0</w:t>
            </w:r>
          </w:p>
        </w:tc>
      </w:tr>
    </w:tbl>
    <w:p w:rsidR="00F24577" w:rsidRDefault="00F24577" w:rsidP="005D4D20">
      <w:pPr>
        <w:widowControl w:val="0"/>
        <w:autoSpaceDE w:val="0"/>
        <w:autoSpaceDN w:val="0"/>
        <w:adjustRightInd w:val="0"/>
      </w:pPr>
    </w:p>
    <w:p w:rsidR="00F24577" w:rsidRDefault="00F24577" w:rsidP="005D4D20">
      <w:pPr>
        <w:widowControl w:val="0"/>
        <w:autoSpaceDE w:val="0"/>
        <w:autoSpaceDN w:val="0"/>
        <w:adjustRightInd w:val="0"/>
      </w:pPr>
      <w:r>
        <w:t>The Percentage of Persons in Poverty from the latest U.S. Census as incorporated by reference in Section 366.103 of this Part:</w:t>
      </w:r>
    </w:p>
    <w:p w:rsidR="00F24577" w:rsidRDefault="00F24577" w:rsidP="005D4D20">
      <w:pPr>
        <w:widowControl w:val="0"/>
        <w:autoSpaceDE w:val="0"/>
        <w:autoSpaceDN w:val="0"/>
        <w:adjustRightInd w:val="0"/>
      </w:pPr>
    </w:p>
    <w:tbl>
      <w:tblPr>
        <w:tblW w:w="0" w:type="auto"/>
        <w:tblLook w:val="0000" w:firstRow="0" w:lastRow="0" w:firstColumn="0" w:lastColumn="0" w:noHBand="0" w:noVBand="0"/>
      </w:tblPr>
      <w:tblGrid>
        <w:gridCol w:w="4788"/>
        <w:gridCol w:w="4788"/>
      </w:tblGrid>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Percentage above State Rate</w:t>
            </w:r>
          </w:p>
        </w:tc>
        <w:tc>
          <w:tcPr>
            <w:tcW w:w="4788" w:type="dxa"/>
          </w:tcPr>
          <w:p w:rsidR="00F24577" w:rsidRDefault="00F24577" w:rsidP="00F24577">
            <w:pPr>
              <w:widowControl w:val="0"/>
              <w:autoSpaceDE w:val="0"/>
              <w:autoSpaceDN w:val="0"/>
              <w:adjustRightInd w:val="0"/>
              <w:jc w:val="center"/>
            </w:pPr>
            <w:r>
              <w:t>Points</w:t>
            </w: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pPr>
          </w:p>
        </w:tc>
        <w:tc>
          <w:tcPr>
            <w:tcW w:w="4788" w:type="dxa"/>
          </w:tcPr>
          <w:p w:rsidR="00F24577" w:rsidRDefault="00F24577" w:rsidP="00F24577">
            <w:pPr>
              <w:widowControl w:val="0"/>
              <w:autoSpaceDE w:val="0"/>
              <w:autoSpaceDN w:val="0"/>
              <w:adjustRightInd w:val="0"/>
            </w:pP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 xml:space="preserve">5.0 </w:t>
            </w:r>
            <w:r w:rsidR="001F66D6">
              <w:t>-</w:t>
            </w:r>
            <w:r>
              <w:t xml:space="preserve"> 12.0</w:t>
            </w:r>
          </w:p>
        </w:tc>
        <w:tc>
          <w:tcPr>
            <w:tcW w:w="4788" w:type="dxa"/>
          </w:tcPr>
          <w:p w:rsidR="00F24577" w:rsidRDefault="00F24577" w:rsidP="00F24577">
            <w:pPr>
              <w:widowControl w:val="0"/>
              <w:autoSpaceDE w:val="0"/>
              <w:autoSpaceDN w:val="0"/>
              <w:adjustRightInd w:val="0"/>
              <w:jc w:val="center"/>
            </w:pPr>
            <w:r>
              <w:t>1.0</w:t>
            </w: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 xml:space="preserve">12.1 </w:t>
            </w:r>
            <w:r w:rsidR="001F66D6">
              <w:t>-</w:t>
            </w:r>
            <w:r>
              <w:t xml:space="preserve"> 19.0</w:t>
            </w:r>
          </w:p>
        </w:tc>
        <w:tc>
          <w:tcPr>
            <w:tcW w:w="4788" w:type="dxa"/>
          </w:tcPr>
          <w:p w:rsidR="00F24577" w:rsidRDefault="00F24577" w:rsidP="00F24577">
            <w:pPr>
              <w:widowControl w:val="0"/>
              <w:autoSpaceDE w:val="0"/>
              <w:autoSpaceDN w:val="0"/>
              <w:adjustRightInd w:val="0"/>
              <w:jc w:val="center"/>
            </w:pPr>
            <w:r>
              <w:t>2.0</w:t>
            </w: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 xml:space="preserve">19.1 </w:t>
            </w:r>
            <w:r w:rsidR="001F66D6">
              <w:t>-</w:t>
            </w:r>
            <w:r>
              <w:t xml:space="preserve"> 25.0</w:t>
            </w:r>
          </w:p>
        </w:tc>
        <w:tc>
          <w:tcPr>
            <w:tcW w:w="4788" w:type="dxa"/>
          </w:tcPr>
          <w:p w:rsidR="00F24577" w:rsidRDefault="00F24577" w:rsidP="00F24577">
            <w:pPr>
              <w:widowControl w:val="0"/>
              <w:autoSpaceDE w:val="0"/>
              <w:autoSpaceDN w:val="0"/>
              <w:adjustRightInd w:val="0"/>
              <w:jc w:val="center"/>
            </w:pPr>
            <w:r>
              <w:t>3.0</w:t>
            </w:r>
          </w:p>
        </w:tc>
      </w:tr>
      <w:tr w:rsidR="00F24577">
        <w:tblPrEx>
          <w:tblCellMar>
            <w:top w:w="0" w:type="dxa"/>
            <w:bottom w:w="0" w:type="dxa"/>
          </w:tblCellMar>
        </w:tblPrEx>
        <w:tc>
          <w:tcPr>
            <w:tcW w:w="4788" w:type="dxa"/>
          </w:tcPr>
          <w:p w:rsidR="00F24577" w:rsidRDefault="00F24577" w:rsidP="00F24577">
            <w:pPr>
              <w:widowControl w:val="0"/>
              <w:autoSpaceDE w:val="0"/>
              <w:autoSpaceDN w:val="0"/>
              <w:adjustRightInd w:val="0"/>
              <w:jc w:val="center"/>
            </w:pPr>
            <w:r>
              <w:t>25.1 and above</w:t>
            </w:r>
          </w:p>
        </w:tc>
        <w:tc>
          <w:tcPr>
            <w:tcW w:w="4788" w:type="dxa"/>
          </w:tcPr>
          <w:p w:rsidR="00F24577" w:rsidRDefault="00F24577" w:rsidP="00F24577">
            <w:pPr>
              <w:widowControl w:val="0"/>
              <w:autoSpaceDE w:val="0"/>
              <w:autoSpaceDN w:val="0"/>
              <w:adjustRightInd w:val="0"/>
              <w:jc w:val="center"/>
            </w:pPr>
            <w:r>
              <w:t>4.0</w:t>
            </w:r>
          </w:p>
        </w:tc>
      </w:tr>
    </w:tbl>
    <w:p w:rsidR="00F24577" w:rsidRDefault="00F24577" w:rsidP="005D4D20">
      <w:pPr>
        <w:widowControl w:val="0"/>
        <w:autoSpaceDE w:val="0"/>
        <w:autoSpaceDN w:val="0"/>
        <w:adjustRightInd w:val="0"/>
      </w:pPr>
    </w:p>
    <w:p w:rsidR="00F24577" w:rsidRPr="00D55B37" w:rsidRDefault="00F24577">
      <w:pPr>
        <w:pStyle w:val="JCARSourceNote"/>
        <w:ind w:firstLine="720"/>
      </w:pPr>
      <w:r w:rsidRPr="00D55B37">
        <w:t xml:space="preserve">(Source:  </w:t>
      </w:r>
      <w:r>
        <w:t>Amended</w:t>
      </w:r>
      <w:r w:rsidRPr="00D55B37">
        <w:t xml:space="preserve"> at 2</w:t>
      </w:r>
      <w:r>
        <w:t>7</w:t>
      </w:r>
      <w:r w:rsidRPr="00D55B37">
        <w:t xml:space="preserve"> Ill. Reg. </w:t>
      </w:r>
      <w:r w:rsidR="0035492B">
        <w:t>13430</w:t>
      </w:r>
      <w:r w:rsidRPr="00D55B37">
        <w:t xml:space="preserve">, effective </w:t>
      </w:r>
      <w:r w:rsidR="0035492B">
        <w:t>July 25, 2003</w:t>
      </w:r>
      <w:r w:rsidRPr="00D55B37">
        <w:t>)</w:t>
      </w:r>
    </w:p>
    <w:sectPr w:rsidR="00F24577" w:rsidRPr="00D55B37" w:rsidSect="005D4D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D20"/>
    <w:rsid w:val="000141E0"/>
    <w:rsid w:val="001F66D6"/>
    <w:rsid w:val="0035492B"/>
    <w:rsid w:val="005C3366"/>
    <w:rsid w:val="005D4D20"/>
    <w:rsid w:val="0061172B"/>
    <w:rsid w:val="006E5720"/>
    <w:rsid w:val="00846AD2"/>
    <w:rsid w:val="00F24577"/>
    <w:rsid w:val="00FA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4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