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94" w:rsidRPr="00DF67BD" w:rsidRDefault="00AF0F94" w:rsidP="00AF0F94">
      <w:pPr>
        <w:widowControl w:val="0"/>
      </w:pPr>
      <w:bookmarkStart w:id="0" w:name="_GoBack"/>
      <w:bookmarkEnd w:id="0"/>
    </w:p>
    <w:p w:rsidR="00AF0F94" w:rsidRPr="00DF67BD" w:rsidRDefault="00AF0F94" w:rsidP="00AF0F94">
      <w:pPr>
        <w:widowControl w:val="0"/>
        <w:rPr>
          <w:b/>
          <w:bCs/>
        </w:rPr>
      </w:pPr>
      <w:r w:rsidRPr="00DF67BD">
        <w:rPr>
          <w:b/>
          <w:bCs/>
        </w:rPr>
        <w:t>Section 369.830  Single Audit Act</w:t>
      </w:r>
    </w:p>
    <w:p w:rsidR="00AF0F94" w:rsidRPr="00DF67BD" w:rsidRDefault="00AF0F94" w:rsidP="00AF0F94">
      <w:pPr>
        <w:widowControl w:val="0"/>
      </w:pPr>
    </w:p>
    <w:p w:rsidR="00AF0F94" w:rsidRPr="00DF67BD" w:rsidRDefault="00AF0F94" w:rsidP="00AF0F94">
      <w:pPr>
        <w:widowControl w:val="0"/>
      </w:pPr>
      <w:r w:rsidRPr="00DF67BD">
        <w:t xml:space="preserve">The loan recipient shall comply with the provisions of the Single Audit Act of 1996 (31 USC 7501 et seq.). </w:t>
      </w:r>
    </w:p>
    <w:sectPr w:rsidR="00AF0F94" w:rsidRPr="00DF67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89" w:rsidRDefault="00872589">
      <w:r>
        <w:separator/>
      </w:r>
    </w:p>
  </w:endnote>
  <w:endnote w:type="continuationSeparator" w:id="0">
    <w:p w:rsidR="00872589" w:rsidRDefault="008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89" w:rsidRDefault="00872589">
      <w:r>
        <w:separator/>
      </w:r>
    </w:p>
  </w:footnote>
  <w:footnote w:type="continuationSeparator" w:id="0">
    <w:p w:rsidR="00872589" w:rsidRDefault="0087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0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324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6A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D8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58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09A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F94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F3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811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9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9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