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3F" w:rsidRDefault="00CB053F" w:rsidP="00CB0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053F" w:rsidRDefault="00CB053F" w:rsidP="00CB05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372.430  Treatment and Storage Area Access Control</w:t>
      </w:r>
      <w:r>
        <w:t xml:space="preserve"> </w:t>
      </w:r>
    </w:p>
    <w:p w:rsidR="00CB053F" w:rsidRDefault="00CB053F" w:rsidP="00CB053F">
      <w:pPr>
        <w:widowControl w:val="0"/>
        <w:autoSpaceDE w:val="0"/>
        <w:autoSpaceDN w:val="0"/>
        <w:adjustRightInd w:val="0"/>
      </w:pPr>
    </w:p>
    <w:p w:rsidR="00CB053F" w:rsidRDefault="00CB053F" w:rsidP="00CB053F">
      <w:pPr>
        <w:widowControl w:val="0"/>
        <w:autoSpaceDE w:val="0"/>
        <w:autoSpaceDN w:val="0"/>
        <w:adjustRightInd w:val="0"/>
      </w:pPr>
      <w:r>
        <w:t xml:space="preserve">The entire treatment and storage lagoon area shall be enclosed with fencing to preclude livestock and prevent access by the general public.  Warning signs shall be posted at 100-yard intervals on exterior fences designating the area as a "Wastewater Treatment Facility".  A vehicle access gate of sufficient width to accommodate mowing equipment and maintenance vehicles shall be provided.  All access gates shall be provided with locks. </w:t>
      </w:r>
    </w:p>
    <w:sectPr w:rsidR="00CB053F" w:rsidSect="00CB0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53F"/>
    <w:rsid w:val="003E542F"/>
    <w:rsid w:val="005C3366"/>
    <w:rsid w:val="00735F5E"/>
    <w:rsid w:val="00CB053F"/>
    <w:rsid w:val="00D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372</vt:lpstr>
    </vt:vector>
  </TitlesOfParts>
  <Company>General Assembly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