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A74" w:rsidRDefault="00793A74" w:rsidP="00793A74">
      <w:pPr>
        <w:widowControl w:val="0"/>
        <w:autoSpaceDE w:val="0"/>
        <w:autoSpaceDN w:val="0"/>
        <w:adjustRightInd w:val="0"/>
      </w:pPr>
      <w:bookmarkStart w:id="0" w:name="_GoBack"/>
      <w:bookmarkEnd w:id="0"/>
    </w:p>
    <w:p w:rsidR="00793A74" w:rsidRDefault="00793A74" w:rsidP="00793A74">
      <w:pPr>
        <w:widowControl w:val="0"/>
        <w:autoSpaceDE w:val="0"/>
        <w:autoSpaceDN w:val="0"/>
        <w:adjustRightInd w:val="0"/>
      </w:pPr>
      <w:r>
        <w:rPr>
          <w:b/>
          <w:bCs/>
        </w:rPr>
        <w:t>Section 391.501</w:t>
      </w:r>
      <w:r w:rsidR="00007761">
        <w:rPr>
          <w:b/>
          <w:bCs/>
        </w:rPr>
        <w:t xml:space="preserve"> </w:t>
      </w:r>
      <w:r>
        <w:rPr>
          <w:b/>
          <w:bCs/>
        </w:rPr>
        <w:t xml:space="preserve">  Sludge Sampling and Analysis</w:t>
      </w:r>
      <w:r>
        <w:t xml:space="preserve"> </w:t>
      </w:r>
    </w:p>
    <w:p w:rsidR="00793A74" w:rsidRDefault="00793A74" w:rsidP="00793A74">
      <w:pPr>
        <w:widowControl w:val="0"/>
        <w:autoSpaceDE w:val="0"/>
        <w:autoSpaceDN w:val="0"/>
        <w:adjustRightInd w:val="0"/>
      </w:pPr>
    </w:p>
    <w:p w:rsidR="00793A74" w:rsidRDefault="00793A74" w:rsidP="00793A74">
      <w:pPr>
        <w:widowControl w:val="0"/>
        <w:autoSpaceDE w:val="0"/>
        <w:autoSpaceDN w:val="0"/>
        <w:adjustRightInd w:val="0"/>
        <w:ind w:left="1440" w:hanging="720"/>
      </w:pPr>
      <w:r>
        <w:t>a)</w:t>
      </w:r>
      <w:r>
        <w:tab/>
        <w:t xml:space="preserve">Permit applications, except water treatment plant sludge application projects, shall provide analyses for the following parameters; </w:t>
      </w:r>
    </w:p>
    <w:p w:rsidR="00215AE7" w:rsidRDefault="00215AE7" w:rsidP="00793A74">
      <w:pPr>
        <w:widowControl w:val="0"/>
        <w:autoSpaceDE w:val="0"/>
        <w:autoSpaceDN w:val="0"/>
        <w:adjustRightInd w:val="0"/>
        <w:ind w:left="2160" w:hanging="720"/>
      </w:pPr>
    </w:p>
    <w:p w:rsidR="00793A74" w:rsidRDefault="00793A74" w:rsidP="00793A74">
      <w:pPr>
        <w:widowControl w:val="0"/>
        <w:autoSpaceDE w:val="0"/>
        <w:autoSpaceDN w:val="0"/>
        <w:adjustRightInd w:val="0"/>
        <w:ind w:left="2160" w:hanging="720"/>
      </w:pPr>
      <w:r>
        <w:t>1)</w:t>
      </w:r>
      <w:r>
        <w:tab/>
        <w:t xml:space="preserve">% total solids, % volatile solids, pH, volatile acids (if anaerobic digestion is used); </w:t>
      </w:r>
    </w:p>
    <w:p w:rsidR="00215AE7" w:rsidRDefault="00215AE7" w:rsidP="00793A74">
      <w:pPr>
        <w:widowControl w:val="0"/>
        <w:autoSpaceDE w:val="0"/>
        <w:autoSpaceDN w:val="0"/>
        <w:adjustRightInd w:val="0"/>
        <w:ind w:left="2160" w:hanging="720"/>
      </w:pPr>
    </w:p>
    <w:p w:rsidR="00793A74" w:rsidRDefault="00793A74" w:rsidP="00793A74">
      <w:pPr>
        <w:widowControl w:val="0"/>
        <w:autoSpaceDE w:val="0"/>
        <w:autoSpaceDN w:val="0"/>
        <w:adjustRightInd w:val="0"/>
        <w:ind w:left="2160" w:hanging="720"/>
      </w:pPr>
      <w:r>
        <w:t>2)</w:t>
      </w:r>
      <w:r>
        <w:tab/>
        <w:t xml:space="preserve">Total </w:t>
      </w:r>
      <w:proofErr w:type="spellStart"/>
      <w:r>
        <w:t>Kjeldahl</w:t>
      </w:r>
      <w:proofErr w:type="spellEnd"/>
      <w:r>
        <w:t xml:space="preserve"> nitrogen, ammonia nitrogen, phosphorus and potassium; </w:t>
      </w:r>
    </w:p>
    <w:p w:rsidR="00215AE7" w:rsidRDefault="00215AE7" w:rsidP="00793A74">
      <w:pPr>
        <w:widowControl w:val="0"/>
        <w:autoSpaceDE w:val="0"/>
        <w:autoSpaceDN w:val="0"/>
        <w:adjustRightInd w:val="0"/>
        <w:ind w:left="2160" w:hanging="720"/>
      </w:pPr>
    </w:p>
    <w:p w:rsidR="00793A74" w:rsidRDefault="00793A74" w:rsidP="00793A74">
      <w:pPr>
        <w:widowControl w:val="0"/>
        <w:autoSpaceDE w:val="0"/>
        <w:autoSpaceDN w:val="0"/>
        <w:adjustRightInd w:val="0"/>
        <w:ind w:left="2160" w:hanging="720"/>
      </w:pPr>
      <w:r>
        <w:t>3)</w:t>
      </w:r>
      <w:r>
        <w:tab/>
        <w:t xml:space="preserve">Cadmium, copper, lead, manganese, nickel and zinc. </w:t>
      </w:r>
    </w:p>
    <w:p w:rsidR="00215AE7" w:rsidRDefault="00215AE7" w:rsidP="00793A74">
      <w:pPr>
        <w:widowControl w:val="0"/>
        <w:autoSpaceDE w:val="0"/>
        <w:autoSpaceDN w:val="0"/>
        <w:adjustRightInd w:val="0"/>
        <w:ind w:left="1440" w:hanging="720"/>
      </w:pPr>
    </w:p>
    <w:p w:rsidR="00793A74" w:rsidRDefault="00793A74" w:rsidP="00793A74">
      <w:pPr>
        <w:widowControl w:val="0"/>
        <w:autoSpaceDE w:val="0"/>
        <w:autoSpaceDN w:val="0"/>
        <w:adjustRightInd w:val="0"/>
        <w:ind w:left="1440" w:hanging="720"/>
      </w:pPr>
      <w:r>
        <w:t>b)</w:t>
      </w:r>
      <w:r>
        <w:tab/>
        <w:t>A</w:t>
      </w:r>
      <w:r w:rsidR="00594A3B">
        <w:t>ll analyses for Subsections (a)</w:t>
      </w:r>
      <w:r>
        <w:t xml:space="preserve">(2) and (3) above must be reported in mg/kg (dry weight basis). </w:t>
      </w:r>
    </w:p>
    <w:p w:rsidR="00215AE7" w:rsidRDefault="00215AE7" w:rsidP="00793A74">
      <w:pPr>
        <w:widowControl w:val="0"/>
        <w:autoSpaceDE w:val="0"/>
        <w:autoSpaceDN w:val="0"/>
        <w:adjustRightInd w:val="0"/>
        <w:ind w:left="1440" w:hanging="720"/>
      </w:pPr>
    </w:p>
    <w:p w:rsidR="00793A74" w:rsidRDefault="00793A74" w:rsidP="00793A74">
      <w:pPr>
        <w:widowControl w:val="0"/>
        <w:autoSpaceDE w:val="0"/>
        <w:autoSpaceDN w:val="0"/>
        <w:adjustRightInd w:val="0"/>
        <w:ind w:left="1440" w:hanging="720"/>
      </w:pPr>
      <w:r>
        <w:t>c)</w:t>
      </w:r>
      <w:r>
        <w:tab/>
        <w:t xml:space="preserve">Wastewater treatment plants whose design population equivalents are less than 1000, which have sanitary sewers not subject to large inflow sources and do not receive any industrial process wastewater may request an exemption from analyzing the metals under Subsection 391.501 (a) (3) except for cadmium which must always be analyzed.  These generators shall periodically analyze their sludge used for land application and make the necessary calculations for nutrient and heavy metal loadings in accordance with the following schedule: </w:t>
      </w:r>
    </w:p>
    <w:p w:rsidR="00793A74" w:rsidRDefault="00793A74" w:rsidP="00793A74">
      <w:pPr>
        <w:widowControl w:val="0"/>
        <w:autoSpaceDE w:val="0"/>
        <w:autoSpaceDN w:val="0"/>
        <w:adjustRightInd w:val="0"/>
      </w:pPr>
    </w:p>
    <w:tbl>
      <w:tblPr>
        <w:tblW w:w="0" w:type="auto"/>
        <w:tblInd w:w="1476" w:type="dxa"/>
        <w:tblLook w:val="0000" w:firstRow="0" w:lastRow="0" w:firstColumn="0" w:lastColumn="0" w:noHBand="0" w:noVBand="0"/>
      </w:tblPr>
      <w:tblGrid>
        <w:gridCol w:w="4788"/>
        <w:gridCol w:w="3312"/>
      </w:tblGrid>
      <w:tr w:rsidR="00007761">
        <w:tblPrEx>
          <w:tblCellMar>
            <w:top w:w="0" w:type="dxa"/>
            <w:bottom w:w="0" w:type="dxa"/>
          </w:tblCellMar>
        </w:tblPrEx>
        <w:tc>
          <w:tcPr>
            <w:tcW w:w="4788" w:type="dxa"/>
            <w:tcBorders>
              <w:bottom w:val="single" w:sz="4" w:space="0" w:color="auto"/>
            </w:tcBorders>
          </w:tcPr>
          <w:p w:rsidR="00007761" w:rsidRDefault="00007761" w:rsidP="00793A74">
            <w:pPr>
              <w:widowControl w:val="0"/>
              <w:autoSpaceDE w:val="0"/>
              <w:autoSpaceDN w:val="0"/>
              <w:adjustRightInd w:val="0"/>
            </w:pPr>
            <w:r>
              <w:t>Design Population Equivalents</w:t>
            </w:r>
          </w:p>
        </w:tc>
        <w:tc>
          <w:tcPr>
            <w:tcW w:w="3312" w:type="dxa"/>
            <w:tcBorders>
              <w:bottom w:val="single" w:sz="4" w:space="0" w:color="auto"/>
            </w:tcBorders>
          </w:tcPr>
          <w:p w:rsidR="00007761" w:rsidRDefault="00007761" w:rsidP="00793A74">
            <w:pPr>
              <w:widowControl w:val="0"/>
              <w:autoSpaceDE w:val="0"/>
              <w:autoSpaceDN w:val="0"/>
              <w:adjustRightInd w:val="0"/>
            </w:pPr>
            <w:r>
              <w:t>Frequency of Sludge Analysis</w:t>
            </w:r>
          </w:p>
        </w:tc>
      </w:tr>
      <w:tr w:rsidR="00007761">
        <w:tblPrEx>
          <w:tblCellMar>
            <w:top w:w="0" w:type="dxa"/>
            <w:bottom w:w="0" w:type="dxa"/>
          </w:tblCellMar>
        </w:tblPrEx>
        <w:tc>
          <w:tcPr>
            <w:tcW w:w="4788" w:type="dxa"/>
            <w:tcBorders>
              <w:top w:val="single" w:sz="4" w:space="0" w:color="auto"/>
            </w:tcBorders>
          </w:tcPr>
          <w:p w:rsidR="00007761" w:rsidRDefault="00007761" w:rsidP="00793A74">
            <w:pPr>
              <w:widowControl w:val="0"/>
              <w:autoSpaceDE w:val="0"/>
              <w:autoSpaceDN w:val="0"/>
              <w:adjustRightInd w:val="0"/>
            </w:pPr>
          </w:p>
        </w:tc>
        <w:tc>
          <w:tcPr>
            <w:tcW w:w="3312" w:type="dxa"/>
            <w:tcBorders>
              <w:top w:val="single" w:sz="4" w:space="0" w:color="auto"/>
            </w:tcBorders>
          </w:tcPr>
          <w:p w:rsidR="00007761" w:rsidRDefault="00007761" w:rsidP="00793A74">
            <w:pPr>
              <w:widowControl w:val="0"/>
              <w:autoSpaceDE w:val="0"/>
              <w:autoSpaceDN w:val="0"/>
              <w:adjustRightInd w:val="0"/>
            </w:pPr>
          </w:p>
        </w:tc>
      </w:tr>
      <w:tr w:rsidR="00007761">
        <w:tblPrEx>
          <w:tblCellMar>
            <w:top w:w="0" w:type="dxa"/>
            <w:bottom w:w="0" w:type="dxa"/>
          </w:tblCellMar>
        </w:tblPrEx>
        <w:tc>
          <w:tcPr>
            <w:tcW w:w="4788" w:type="dxa"/>
          </w:tcPr>
          <w:p w:rsidR="00007761" w:rsidRDefault="00007761" w:rsidP="00793A74">
            <w:pPr>
              <w:widowControl w:val="0"/>
              <w:autoSpaceDE w:val="0"/>
              <w:autoSpaceDN w:val="0"/>
              <w:adjustRightInd w:val="0"/>
            </w:pPr>
            <w:r>
              <w:t>&gt;100,000</w:t>
            </w:r>
          </w:p>
        </w:tc>
        <w:tc>
          <w:tcPr>
            <w:tcW w:w="3312" w:type="dxa"/>
          </w:tcPr>
          <w:p w:rsidR="00007761" w:rsidRDefault="00007761" w:rsidP="00594A3B">
            <w:pPr>
              <w:widowControl w:val="0"/>
              <w:autoSpaceDE w:val="0"/>
              <w:autoSpaceDN w:val="0"/>
              <w:adjustRightInd w:val="0"/>
              <w:ind w:left="1146"/>
            </w:pPr>
            <w:r>
              <w:t>Monthly</w:t>
            </w:r>
          </w:p>
        </w:tc>
      </w:tr>
      <w:tr w:rsidR="00007761">
        <w:tblPrEx>
          <w:tblCellMar>
            <w:top w:w="0" w:type="dxa"/>
            <w:bottom w:w="0" w:type="dxa"/>
          </w:tblCellMar>
        </w:tblPrEx>
        <w:tc>
          <w:tcPr>
            <w:tcW w:w="4788" w:type="dxa"/>
          </w:tcPr>
          <w:p w:rsidR="00007761" w:rsidRDefault="00007761" w:rsidP="00793A74">
            <w:pPr>
              <w:widowControl w:val="0"/>
              <w:autoSpaceDE w:val="0"/>
              <w:autoSpaceDN w:val="0"/>
              <w:adjustRightInd w:val="0"/>
            </w:pPr>
            <w:r>
              <w:t>10,000</w:t>
            </w:r>
            <w:r w:rsidR="00F81A84">
              <w:t>-</w:t>
            </w:r>
            <w:r>
              <w:t>100,000</w:t>
            </w:r>
          </w:p>
        </w:tc>
        <w:tc>
          <w:tcPr>
            <w:tcW w:w="3312" w:type="dxa"/>
          </w:tcPr>
          <w:p w:rsidR="00007761" w:rsidRDefault="00007761" w:rsidP="00594A3B">
            <w:pPr>
              <w:widowControl w:val="0"/>
              <w:autoSpaceDE w:val="0"/>
              <w:autoSpaceDN w:val="0"/>
              <w:adjustRightInd w:val="0"/>
              <w:ind w:left="1146"/>
            </w:pPr>
            <w:r>
              <w:t>Quarterly</w:t>
            </w:r>
          </w:p>
        </w:tc>
      </w:tr>
      <w:tr w:rsidR="00007761">
        <w:tblPrEx>
          <w:tblCellMar>
            <w:top w:w="0" w:type="dxa"/>
            <w:bottom w:w="0" w:type="dxa"/>
          </w:tblCellMar>
        </w:tblPrEx>
        <w:tc>
          <w:tcPr>
            <w:tcW w:w="4788" w:type="dxa"/>
          </w:tcPr>
          <w:p w:rsidR="00007761" w:rsidRDefault="00007761" w:rsidP="00793A74">
            <w:pPr>
              <w:widowControl w:val="0"/>
              <w:autoSpaceDE w:val="0"/>
              <w:autoSpaceDN w:val="0"/>
              <w:adjustRightInd w:val="0"/>
            </w:pPr>
            <w:r>
              <w:t>1000-9999</w:t>
            </w:r>
          </w:p>
        </w:tc>
        <w:tc>
          <w:tcPr>
            <w:tcW w:w="3312" w:type="dxa"/>
          </w:tcPr>
          <w:p w:rsidR="00007761" w:rsidRDefault="00007761" w:rsidP="00594A3B">
            <w:pPr>
              <w:widowControl w:val="0"/>
              <w:autoSpaceDE w:val="0"/>
              <w:autoSpaceDN w:val="0"/>
              <w:adjustRightInd w:val="0"/>
              <w:ind w:left="1146"/>
            </w:pPr>
            <w:r>
              <w:t>Semi-annual</w:t>
            </w:r>
          </w:p>
        </w:tc>
      </w:tr>
      <w:tr w:rsidR="00007761">
        <w:tblPrEx>
          <w:tblCellMar>
            <w:top w:w="0" w:type="dxa"/>
            <w:bottom w:w="0" w:type="dxa"/>
          </w:tblCellMar>
        </w:tblPrEx>
        <w:tc>
          <w:tcPr>
            <w:tcW w:w="4788" w:type="dxa"/>
          </w:tcPr>
          <w:p w:rsidR="00007761" w:rsidRDefault="00007761" w:rsidP="00793A74">
            <w:pPr>
              <w:widowControl w:val="0"/>
              <w:autoSpaceDE w:val="0"/>
              <w:autoSpaceDN w:val="0"/>
              <w:adjustRightInd w:val="0"/>
            </w:pPr>
            <w:r>
              <w:t>&lt;1000</w:t>
            </w:r>
          </w:p>
        </w:tc>
        <w:tc>
          <w:tcPr>
            <w:tcW w:w="3312" w:type="dxa"/>
          </w:tcPr>
          <w:p w:rsidR="00007761" w:rsidRDefault="00007761" w:rsidP="00594A3B">
            <w:pPr>
              <w:widowControl w:val="0"/>
              <w:autoSpaceDE w:val="0"/>
              <w:autoSpaceDN w:val="0"/>
              <w:adjustRightInd w:val="0"/>
              <w:ind w:left="1146"/>
            </w:pPr>
            <w:r>
              <w:t>Annual</w:t>
            </w:r>
          </w:p>
        </w:tc>
      </w:tr>
    </w:tbl>
    <w:p w:rsidR="00793A74" w:rsidRDefault="00793A74" w:rsidP="00793A74">
      <w:pPr>
        <w:widowControl w:val="0"/>
        <w:autoSpaceDE w:val="0"/>
        <w:autoSpaceDN w:val="0"/>
        <w:adjustRightInd w:val="0"/>
      </w:pPr>
    </w:p>
    <w:p w:rsidR="00793A74" w:rsidRDefault="00793A74" w:rsidP="00793A74">
      <w:pPr>
        <w:widowControl w:val="0"/>
        <w:autoSpaceDE w:val="0"/>
        <w:autoSpaceDN w:val="0"/>
        <w:adjustRightInd w:val="0"/>
        <w:ind w:left="2160" w:hanging="720"/>
      </w:pPr>
      <w:r>
        <w:t>1)</w:t>
      </w:r>
      <w:r>
        <w:tab/>
        <w:t xml:space="preserve">If a treatment plant sludge application project is limited by heavy metal loading more frequent sludge analysis shall be required by the Agency as necessary to assure compliance with the Act and 35 Ill. Adm. Code, Subtitle C, Subchapter l. </w:t>
      </w:r>
    </w:p>
    <w:p w:rsidR="00215AE7" w:rsidRDefault="00215AE7" w:rsidP="00793A74">
      <w:pPr>
        <w:widowControl w:val="0"/>
        <w:autoSpaceDE w:val="0"/>
        <w:autoSpaceDN w:val="0"/>
        <w:adjustRightInd w:val="0"/>
        <w:ind w:left="2160" w:hanging="720"/>
      </w:pPr>
    </w:p>
    <w:p w:rsidR="00793A74" w:rsidRDefault="00793A74" w:rsidP="00793A74">
      <w:pPr>
        <w:widowControl w:val="0"/>
        <w:autoSpaceDE w:val="0"/>
        <w:autoSpaceDN w:val="0"/>
        <w:adjustRightInd w:val="0"/>
        <w:ind w:left="2160" w:hanging="720"/>
      </w:pPr>
      <w:r>
        <w:t>2)</w:t>
      </w:r>
      <w:r>
        <w:tab/>
        <w:t xml:space="preserve">If sludge analyses show only minor deviations in sludge quality, the applicant may request a less frequent sludge sampling and analysis program or compositing of samples with less frequent analyses of samples. </w:t>
      </w:r>
    </w:p>
    <w:p w:rsidR="00215AE7" w:rsidRDefault="00215AE7" w:rsidP="00793A74">
      <w:pPr>
        <w:widowControl w:val="0"/>
        <w:autoSpaceDE w:val="0"/>
        <w:autoSpaceDN w:val="0"/>
        <w:adjustRightInd w:val="0"/>
        <w:ind w:left="1440" w:hanging="720"/>
      </w:pPr>
    </w:p>
    <w:p w:rsidR="00793A74" w:rsidRDefault="00793A74" w:rsidP="00793A74">
      <w:pPr>
        <w:widowControl w:val="0"/>
        <w:autoSpaceDE w:val="0"/>
        <w:autoSpaceDN w:val="0"/>
        <w:adjustRightInd w:val="0"/>
        <w:ind w:left="1440" w:hanging="720"/>
      </w:pPr>
      <w:r>
        <w:t>d)</w:t>
      </w:r>
      <w:r>
        <w:tab/>
        <w:t>Water treatment plant sludge permit applications shall provide analys</w:t>
      </w:r>
      <w:r w:rsidR="00594A3B">
        <w:t>es for the following parameters:</w:t>
      </w:r>
      <w:r>
        <w:t xml:space="preserve"> </w:t>
      </w:r>
    </w:p>
    <w:p w:rsidR="00215AE7" w:rsidRDefault="00215AE7" w:rsidP="00793A74">
      <w:pPr>
        <w:widowControl w:val="0"/>
        <w:autoSpaceDE w:val="0"/>
        <w:autoSpaceDN w:val="0"/>
        <w:adjustRightInd w:val="0"/>
        <w:ind w:left="2160" w:hanging="720"/>
      </w:pPr>
    </w:p>
    <w:p w:rsidR="00793A74" w:rsidRDefault="00793A74" w:rsidP="00793A74">
      <w:pPr>
        <w:widowControl w:val="0"/>
        <w:autoSpaceDE w:val="0"/>
        <w:autoSpaceDN w:val="0"/>
        <w:adjustRightInd w:val="0"/>
        <w:ind w:left="2160" w:hanging="720"/>
      </w:pPr>
      <w:r>
        <w:t>1)</w:t>
      </w:r>
      <w:r>
        <w:tab/>
        <w:t xml:space="preserve">% total solids, pH, % calcium carbonate equivalent; </w:t>
      </w:r>
    </w:p>
    <w:p w:rsidR="00215AE7" w:rsidRDefault="00215AE7" w:rsidP="00793A74">
      <w:pPr>
        <w:widowControl w:val="0"/>
        <w:autoSpaceDE w:val="0"/>
        <w:autoSpaceDN w:val="0"/>
        <w:adjustRightInd w:val="0"/>
        <w:ind w:left="2160" w:hanging="720"/>
      </w:pPr>
    </w:p>
    <w:p w:rsidR="00793A74" w:rsidRDefault="00793A74" w:rsidP="00793A74">
      <w:pPr>
        <w:widowControl w:val="0"/>
        <w:autoSpaceDE w:val="0"/>
        <w:autoSpaceDN w:val="0"/>
        <w:adjustRightInd w:val="0"/>
        <w:ind w:left="2160" w:hanging="720"/>
      </w:pPr>
      <w:r>
        <w:t>2)</w:t>
      </w:r>
      <w:r>
        <w:tab/>
        <w:t xml:space="preserve">Arsenic, barium, cadmium, chromium (hexavalent), chromium (total), copper, mercury, nickel, selenium, silver and zinc; </w:t>
      </w:r>
    </w:p>
    <w:p w:rsidR="00215AE7" w:rsidRDefault="00215AE7" w:rsidP="00793A74">
      <w:pPr>
        <w:widowControl w:val="0"/>
        <w:autoSpaceDE w:val="0"/>
        <w:autoSpaceDN w:val="0"/>
        <w:adjustRightInd w:val="0"/>
        <w:ind w:left="2160" w:hanging="720"/>
      </w:pPr>
    </w:p>
    <w:p w:rsidR="00793A74" w:rsidRDefault="00793A74" w:rsidP="00793A74">
      <w:pPr>
        <w:widowControl w:val="0"/>
        <w:autoSpaceDE w:val="0"/>
        <w:autoSpaceDN w:val="0"/>
        <w:adjustRightInd w:val="0"/>
        <w:ind w:left="2160" w:hanging="720"/>
      </w:pPr>
      <w:r>
        <w:t>3)</w:t>
      </w:r>
      <w:r>
        <w:tab/>
        <w:t xml:space="preserve">The Agency shall request an applicant to analyze water treatment plant sludge for additional parameters and limit sludge application rates based on these other parameters as necessary to prevent groundwater or surface water pollution, </w:t>
      </w:r>
      <w:proofErr w:type="spellStart"/>
      <w:r>
        <w:t>phytotoxicity</w:t>
      </w:r>
      <w:proofErr w:type="spellEnd"/>
      <w:r>
        <w:t xml:space="preserve">, mammalian toxicity or other environmental concerns. </w:t>
      </w:r>
    </w:p>
    <w:p w:rsidR="00215AE7" w:rsidRDefault="00215AE7" w:rsidP="00793A74">
      <w:pPr>
        <w:widowControl w:val="0"/>
        <w:autoSpaceDE w:val="0"/>
        <w:autoSpaceDN w:val="0"/>
        <w:adjustRightInd w:val="0"/>
        <w:ind w:left="2160" w:hanging="720"/>
      </w:pPr>
    </w:p>
    <w:p w:rsidR="00793A74" w:rsidRDefault="00793A74" w:rsidP="00793A74">
      <w:pPr>
        <w:widowControl w:val="0"/>
        <w:autoSpaceDE w:val="0"/>
        <w:autoSpaceDN w:val="0"/>
        <w:adjustRightInd w:val="0"/>
        <w:ind w:left="2160" w:hanging="720"/>
      </w:pPr>
      <w:r>
        <w:t>4)</w:t>
      </w:r>
      <w:r>
        <w:tab/>
        <w:t xml:space="preserve">If raw water or sludge analyses show only negligible amounts of metals listed in (d)(2) above, the applicant may request less parameters to be analyzed. </w:t>
      </w:r>
    </w:p>
    <w:p w:rsidR="00215AE7" w:rsidRDefault="00215AE7" w:rsidP="00793A74">
      <w:pPr>
        <w:widowControl w:val="0"/>
        <w:autoSpaceDE w:val="0"/>
        <w:autoSpaceDN w:val="0"/>
        <w:adjustRightInd w:val="0"/>
        <w:ind w:left="1440" w:hanging="720"/>
      </w:pPr>
    </w:p>
    <w:p w:rsidR="00793A74" w:rsidRDefault="00793A74" w:rsidP="00793A74">
      <w:pPr>
        <w:widowControl w:val="0"/>
        <w:autoSpaceDE w:val="0"/>
        <w:autoSpaceDN w:val="0"/>
        <w:adjustRightInd w:val="0"/>
        <w:ind w:left="1440" w:hanging="720"/>
      </w:pPr>
      <w:r>
        <w:t>e)</w:t>
      </w:r>
      <w:r>
        <w:tab/>
        <w:t xml:space="preserve">All analyses for Subsection (d)(2) above must be reported in mg/kg (dry weight basis). </w:t>
      </w:r>
    </w:p>
    <w:p w:rsidR="00215AE7" w:rsidRDefault="00215AE7" w:rsidP="00793A74">
      <w:pPr>
        <w:widowControl w:val="0"/>
        <w:autoSpaceDE w:val="0"/>
        <w:autoSpaceDN w:val="0"/>
        <w:adjustRightInd w:val="0"/>
        <w:ind w:left="1440" w:hanging="720"/>
      </w:pPr>
    </w:p>
    <w:p w:rsidR="00793A74" w:rsidRDefault="00793A74" w:rsidP="00793A74">
      <w:pPr>
        <w:widowControl w:val="0"/>
        <w:autoSpaceDE w:val="0"/>
        <w:autoSpaceDN w:val="0"/>
        <w:adjustRightInd w:val="0"/>
        <w:ind w:left="1440" w:hanging="720"/>
      </w:pPr>
      <w:r>
        <w:t>f)</w:t>
      </w:r>
      <w:r>
        <w:tab/>
        <w:t xml:space="preserve">Water treatment plants shall analyze their sludge on an annual basis. For facilities that have on-site storage lagoons, analyses shall be performed at the time of lagoon cleanout. </w:t>
      </w:r>
    </w:p>
    <w:sectPr w:rsidR="00793A74" w:rsidSect="00793A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3A74"/>
    <w:rsid w:val="00007761"/>
    <w:rsid w:val="00215AE7"/>
    <w:rsid w:val="00594A3B"/>
    <w:rsid w:val="005C3366"/>
    <w:rsid w:val="00612912"/>
    <w:rsid w:val="00793A74"/>
    <w:rsid w:val="00E40BF7"/>
    <w:rsid w:val="00EF1595"/>
    <w:rsid w:val="00F8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391</vt:lpstr>
    </vt:vector>
  </TitlesOfParts>
  <Company>State of Illinois</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391</dc:title>
  <dc:subject/>
  <dc:creator>Illinois General Assembly</dc:creator>
  <cp:keywords/>
  <dc:description/>
  <cp:lastModifiedBy>Roberts, John</cp:lastModifiedBy>
  <cp:revision>3</cp:revision>
  <cp:lastPrinted>2003-03-21T19:37:00Z</cp:lastPrinted>
  <dcterms:created xsi:type="dcterms:W3CDTF">2012-06-21T20:50:00Z</dcterms:created>
  <dcterms:modified xsi:type="dcterms:W3CDTF">2012-06-21T20:50:00Z</dcterms:modified>
</cp:coreProperties>
</file>