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54" w:rsidRDefault="00C97254" w:rsidP="00C972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254" w:rsidRDefault="00C97254" w:rsidP="00C97254">
      <w:pPr>
        <w:widowControl w:val="0"/>
        <w:autoSpaceDE w:val="0"/>
        <w:autoSpaceDN w:val="0"/>
        <w:adjustRightInd w:val="0"/>
      </w:pPr>
      <w:r>
        <w:t>AUTHORITY:  Implementing Section 4(m) of the Environmental Protection Act</w:t>
      </w:r>
      <w:r w:rsidR="0077646D">
        <w:t xml:space="preserve"> (Ill. Rev. Stat. 1979, ch. 111½</w:t>
      </w:r>
      <w:r>
        <w:t xml:space="preserve">, par. 1004(m)), and Section 401 of the Clean Water Act (33 U.S.C. 1341), and authorized by Rule 971 of Chapter 3:  Water Pollution, of the Pollution Control Board's Rules and Regulations. </w:t>
      </w:r>
    </w:p>
    <w:sectPr w:rsidR="00C97254" w:rsidSect="00C972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254"/>
    <w:rsid w:val="005A3806"/>
    <w:rsid w:val="005C3366"/>
    <w:rsid w:val="00606E22"/>
    <w:rsid w:val="006F487D"/>
    <w:rsid w:val="0077646D"/>
    <w:rsid w:val="00C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7646D"/>
    <w:pPr>
      <w:ind w:left="720" w:hanging="360"/>
    </w:pPr>
  </w:style>
  <w:style w:type="paragraph" w:styleId="BodyText">
    <w:name w:val="Body Text"/>
    <w:basedOn w:val="Normal"/>
    <w:rsid w:val="0077646D"/>
    <w:pPr>
      <w:spacing w:after="120"/>
    </w:pPr>
  </w:style>
  <w:style w:type="paragraph" w:styleId="BodyTextIndent">
    <w:name w:val="Body Text Indent"/>
    <w:basedOn w:val="Normal"/>
    <w:rsid w:val="0077646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7646D"/>
    <w:pPr>
      <w:ind w:left="720" w:hanging="360"/>
    </w:pPr>
  </w:style>
  <w:style w:type="paragraph" w:styleId="BodyText">
    <w:name w:val="Body Text"/>
    <w:basedOn w:val="Normal"/>
    <w:rsid w:val="0077646D"/>
    <w:pPr>
      <w:spacing w:after="120"/>
    </w:pPr>
  </w:style>
  <w:style w:type="paragraph" w:styleId="BodyTextIndent">
    <w:name w:val="Body Text Indent"/>
    <w:basedOn w:val="Normal"/>
    <w:rsid w:val="0077646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4(m) of the Environmental Protection Act (Ill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4(m)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