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C63" w:rsidRDefault="00E97C63" w:rsidP="00E97C63">
      <w:pPr>
        <w:widowControl w:val="0"/>
        <w:autoSpaceDE w:val="0"/>
        <w:autoSpaceDN w:val="0"/>
        <w:adjustRightInd w:val="0"/>
      </w:pPr>
    </w:p>
    <w:p w:rsidR="00E97C63" w:rsidRDefault="00E97C63" w:rsidP="00E97C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406.106  Effluent Standards for Mine Discharges</w:t>
      </w:r>
      <w:r>
        <w:t xml:space="preserve"> </w:t>
      </w:r>
    </w:p>
    <w:p w:rsidR="00E97C63" w:rsidRDefault="00E97C63" w:rsidP="00E97C63">
      <w:pPr>
        <w:widowControl w:val="0"/>
        <w:autoSpaceDE w:val="0"/>
        <w:autoSpaceDN w:val="0"/>
        <w:adjustRightInd w:val="0"/>
      </w:pPr>
    </w:p>
    <w:p w:rsidR="00E97C63" w:rsidRDefault="00E97C63" w:rsidP="00E97C6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effluent limitations in 35 Ill. Adm. Code 304 </w:t>
      </w:r>
      <w:r w:rsidR="006672E4">
        <w:t>do</w:t>
      </w:r>
      <w:r>
        <w:t xml:space="preserve"> not apply to mine discharges or non-point source mine discharges. </w:t>
      </w:r>
    </w:p>
    <w:p w:rsidR="009A40A3" w:rsidRDefault="009A40A3" w:rsidP="004355E0">
      <w:pPr>
        <w:widowControl w:val="0"/>
        <w:autoSpaceDE w:val="0"/>
        <w:autoSpaceDN w:val="0"/>
        <w:adjustRightInd w:val="0"/>
      </w:pPr>
    </w:p>
    <w:p w:rsidR="00E97C63" w:rsidRDefault="00E97C63" w:rsidP="00E97C6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Except as provided in Sections 406.109 and 406.110, a mine discharge effluent </w:t>
      </w:r>
      <w:r w:rsidR="006672E4">
        <w:t>must</w:t>
      </w:r>
      <w:r>
        <w:t xml:space="preserve"> not exceed the following levels: </w:t>
      </w:r>
    </w:p>
    <w:p w:rsidR="00E97C63" w:rsidRDefault="00E97C63" w:rsidP="004355E0">
      <w:pPr>
        <w:widowControl w:val="0"/>
        <w:autoSpaceDE w:val="0"/>
        <w:autoSpaceDN w:val="0"/>
        <w:adjustRightInd w:val="0"/>
      </w:pPr>
    </w:p>
    <w:tbl>
      <w:tblPr>
        <w:tblW w:w="0" w:type="auto"/>
        <w:tblInd w:w="2256" w:type="dxa"/>
        <w:tblLook w:val="0000" w:firstRow="0" w:lastRow="0" w:firstColumn="0" w:lastColumn="0" w:noHBand="0" w:noVBand="0"/>
      </w:tblPr>
      <w:tblGrid>
        <w:gridCol w:w="3135"/>
        <w:gridCol w:w="2681"/>
      </w:tblGrid>
      <w:tr w:rsidR="00C13BFC" w:rsidTr="00C13BFC">
        <w:trPr>
          <w:trHeight w:val="555"/>
        </w:trPr>
        <w:tc>
          <w:tcPr>
            <w:tcW w:w="3135" w:type="dxa"/>
          </w:tcPr>
          <w:p w:rsidR="00C13BFC" w:rsidRDefault="00C13BFC" w:rsidP="00E97C63">
            <w:pPr>
              <w:widowControl w:val="0"/>
              <w:autoSpaceDE w:val="0"/>
              <w:autoSpaceDN w:val="0"/>
              <w:adjustRightInd w:val="0"/>
            </w:pPr>
            <w:r>
              <w:t>Constituent</w:t>
            </w:r>
          </w:p>
        </w:tc>
        <w:tc>
          <w:tcPr>
            <w:tcW w:w="2681" w:type="dxa"/>
          </w:tcPr>
          <w:p w:rsidR="00C13BFC" w:rsidRDefault="00C13BFC" w:rsidP="00AC19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Concentration</w:t>
            </w:r>
          </w:p>
        </w:tc>
      </w:tr>
      <w:tr w:rsidR="00C13BFC" w:rsidTr="00C13BFC">
        <w:tc>
          <w:tcPr>
            <w:tcW w:w="3135" w:type="dxa"/>
          </w:tcPr>
          <w:p w:rsidR="00C13BFC" w:rsidRDefault="00C13BFC" w:rsidP="00E97C63">
            <w:pPr>
              <w:widowControl w:val="0"/>
              <w:autoSpaceDE w:val="0"/>
              <w:autoSpaceDN w:val="0"/>
              <w:adjustRightInd w:val="0"/>
            </w:pPr>
            <w:r>
              <w:t>Acidity</w:t>
            </w:r>
          </w:p>
        </w:tc>
        <w:tc>
          <w:tcPr>
            <w:tcW w:w="2681" w:type="dxa"/>
          </w:tcPr>
          <w:p w:rsidR="00C13BFC" w:rsidRDefault="00C13BFC" w:rsidP="00DE065D">
            <w:pPr>
              <w:pStyle w:val="ListBullet"/>
              <w:ind w:left="-100" w:right="-9"/>
              <w:jc w:val="center"/>
            </w:pPr>
            <w:r>
              <w:t>(total acidity must not exceed total alkalinity)</w:t>
            </w:r>
          </w:p>
        </w:tc>
      </w:tr>
      <w:tr w:rsidR="00C13BFC" w:rsidTr="00C13BFC">
        <w:tc>
          <w:tcPr>
            <w:tcW w:w="3135" w:type="dxa"/>
          </w:tcPr>
          <w:p w:rsidR="00C13BFC" w:rsidRDefault="00C13BFC" w:rsidP="00E97C63">
            <w:pPr>
              <w:widowControl w:val="0"/>
              <w:autoSpaceDE w:val="0"/>
              <w:autoSpaceDN w:val="0"/>
              <w:adjustRightInd w:val="0"/>
            </w:pPr>
            <w:r>
              <w:t>Iron (total)</w:t>
            </w:r>
          </w:p>
        </w:tc>
        <w:tc>
          <w:tcPr>
            <w:tcW w:w="2681" w:type="dxa"/>
          </w:tcPr>
          <w:p w:rsidR="00C13BFC" w:rsidRDefault="00C13BFC" w:rsidP="00DE065D">
            <w:pPr>
              <w:pStyle w:val="ListBullet"/>
              <w:ind w:left="-100" w:right="-9"/>
              <w:jc w:val="center"/>
            </w:pPr>
            <w:r>
              <w:t>3.5 mg/L</w:t>
            </w:r>
          </w:p>
        </w:tc>
      </w:tr>
      <w:tr w:rsidR="00C13BFC" w:rsidTr="00C13BFC">
        <w:tc>
          <w:tcPr>
            <w:tcW w:w="3135" w:type="dxa"/>
          </w:tcPr>
          <w:p w:rsidR="00C13BFC" w:rsidRDefault="00C13BFC" w:rsidP="00E97C63">
            <w:pPr>
              <w:widowControl w:val="0"/>
              <w:autoSpaceDE w:val="0"/>
              <w:autoSpaceDN w:val="0"/>
              <w:adjustRightInd w:val="0"/>
            </w:pPr>
            <w:r>
              <w:t>Lead (total)</w:t>
            </w:r>
          </w:p>
        </w:tc>
        <w:tc>
          <w:tcPr>
            <w:tcW w:w="2681" w:type="dxa"/>
          </w:tcPr>
          <w:p w:rsidR="00C13BFC" w:rsidRDefault="00C13BFC" w:rsidP="00DE065D">
            <w:pPr>
              <w:pStyle w:val="ListBullet"/>
              <w:ind w:left="-100" w:right="-9"/>
              <w:jc w:val="center"/>
            </w:pPr>
            <w:r>
              <w:t>1 mg/L</w:t>
            </w:r>
          </w:p>
        </w:tc>
      </w:tr>
      <w:tr w:rsidR="00C13BFC" w:rsidTr="00C13BFC">
        <w:tc>
          <w:tcPr>
            <w:tcW w:w="3135" w:type="dxa"/>
          </w:tcPr>
          <w:p w:rsidR="00C13BFC" w:rsidRDefault="00C13BFC" w:rsidP="00E97C63">
            <w:pPr>
              <w:widowControl w:val="0"/>
              <w:autoSpaceDE w:val="0"/>
              <w:autoSpaceDN w:val="0"/>
              <w:adjustRightInd w:val="0"/>
            </w:pPr>
            <w:r>
              <w:t xml:space="preserve">Ammonia Nitrogen (as N) </w:t>
            </w:r>
          </w:p>
        </w:tc>
        <w:tc>
          <w:tcPr>
            <w:tcW w:w="2681" w:type="dxa"/>
          </w:tcPr>
          <w:p w:rsidR="00C13BFC" w:rsidRDefault="00C13BFC" w:rsidP="00DE065D">
            <w:pPr>
              <w:pStyle w:val="ListBullet"/>
              <w:ind w:left="-100" w:right="-9"/>
              <w:jc w:val="center"/>
            </w:pPr>
            <w:r>
              <w:t>5 mg/L</w:t>
            </w:r>
          </w:p>
        </w:tc>
      </w:tr>
      <w:tr w:rsidR="00C13BFC" w:rsidTr="00C13BFC">
        <w:tc>
          <w:tcPr>
            <w:tcW w:w="3135" w:type="dxa"/>
          </w:tcPr>
          <w:p w:rsidR="00C13BFC" w:rsidRDefault="00C13BFC" w:rsidP="00E97C63">
            <w:pPr>
              <w:widowControl w:val="0"/>
              <w:autoSpaceDE w:val="0"/>
              <w:autoSpaceDN w:val="0"/>
              <w:adjustRightInd w:val="0"/>
            </w:pPr>
            <w:r>
              <w:t>pH (range)</w:t>
            </w:r>
          </w:p>
        </w:tc>
        <w:tc>
          <w:tcPr>
            <w:tcW w:w="2681" w:type="dxa"/>
          </w:tcPr>
          <w:p w:rsidR="00C13BFC" w:rsidRDefault="00C13BFC" w:rsidP="00DE065D">
            <w:pPr>
              <w:pStyle w:val="ListBullet"/>
              <w:ind w:left="-100" w:right="-9"/>
              <w:jc w:val="center"/>
            </w:pPr>
            <w:r>
              <w:t>6-9</w:t>
            </w:r>
          </w:p>
        </w:tc>
      </w:tr>
      <w:tr w:rsidR="00C13BFC" w:rsidTr="00C13BFC">
        <w:tc>
          <w:tcPr>
            <w:tcW w:w="3135" w:type="dxa"/>
          </w:tcPr>
          <w:p w:rsidR="00C13BFC" w:rsidRDefault="00C13BFC" w:rsidP="00E97C63">
            <w:pPr>
              <w:widowControl w:val="0"/>
              <w:autoSpaceDE w:val="0"/>
              <w:autoSpaceDN w:val="0"/>
              <w:adjustRightInd w:val="0"/>
            </w:pPr>
            <w:r>
              <w:t>Zinc (total)</w:t>
            </w:r>
          </w:p>
        </w:tc>
        <w:tc>
          <w:tcPr>
            <w:tcW w:w="2681" w:type="dxa"/>
          </w:tcPr>
          <w:p w:rsidR="00C13BFC" w:rsidRDefault="00C13BFC" w:rsidP="00DE065D">
            <w:pPr>
              <w:pStyle w:val="ListBullet"/>
              <w:ind w:left="-100" w:right="-9"/>
              <w:jc w:val="center"/>
            </w:pPr>
            <w:r>
              <w:t>5 mg/L</w:t>
            </w:r>
          </w:p>
        </w:tc>
      </w:tr>
      <w:tr w:rsidR="00C13BFC" w:rsidTr="00C13BFC">
        <w:tc>
          <w:tcPr>
            <w:tcW w:w="3135" w:type="dxa"/>
          </w:tcPr>
          <w:p w:rsidR="00C13BFC" w:rsidRDefault="00C13BFC" w:rsidP="00E97C63">
            <w:pPr>
              <w:widowControl w:val="0"/>
              <w:autoSpaceDE w:val="0"/>
              <w:autoSpaceDN w:val="0"/>
              <w:adjustRightInd w:val="0"/>
            </w:pPr>
            <w:r>
              <w:t xml:space="preserve">Fluoride (total) </w:t>
            </w:r>
          </w:p>
        </w:tc>
        <w:tc>
          <w:tcPr>
            <w:tcW w:w="2681" w:type="dxa"/>
          </w:tcPr>
          <w:p w:rsidR="00C13BFC" w:rsidRDefault="00C13BFC" w:rsidP="00DE065D">
            <w:pPr>
              <w:pStyle w:val="ListBullet"/>
              <w:ind w:left="-100" w:right="-9"/>
              <w:jc w:val="center"/>
            </w:pPr>
            <w:r>
              <w:t>15 mg/L</w:t>
            </w:r>
          </w:p>
        </w:tc>
      </w:tr>
      <w:tr w:rsidR="00C13BFC" w:rsidTr="00C13BFC">
        <w:tc>
          <w:tcPr>
            <w:tcW w:w="3135" w:type="dxa"/>
          </w:tcPr>
          <w:p w:rsidR="00C13BFC" w:rsidRDefault="00C13BFC" w:rsidP="00E97C63">
            <w:pPr>
              <w:widowControl w:val="0"/>
              <w:autoSpaceDE w:val="0"/>
              <w:autoSpaceDN w:val="0"/>
              <w:adjustRightInd w:val="0"/>
            </w:pPr>
            <w:r>
              <w:t xml:space="preserve">Total suspended solids </w:t>
            </w:r>
          </w:p>
        </w:tc>
        <w:tc>
          <w:tcPr>
            <w:tcW w:w="2681" w:type="dxa"/>
          </w:tcPr>
          <w:p w:rsidR="00C13BFC" w:rsidRDefault="00C13BFC" w:rsidP="00DE065D">
            <w:pPr>
              <w:pStyle w:val="ListBullet"/>
              <w:ind w:left="-100" w:right="-9"/>
              <w:jc w:val="center"/>
            </w:pPr>
            <w:r>
              <w:t>35 mg/L</w:t>
            </w:r>
          </w:p>
        </w:tc>
      </w:tr>
      <w:tr w:rsidR="00C13BFC" w:rsidTr="00C13BFC">
        <w:tc>
          <w:tcPr>
            <w:tcW w:w="3135" w:type="dxa"/>
          </w:tcPr>
          <w:p w:rsidR="00C13BFC" w:rsidRDefault="00C13BFC" w:rsidP="00E97C63">
            <w:pPr>
              <w:widowControl w:val="0"/>
              <w:autoSpaceDE w:val="0"/>
              <w:autoSpaceDN w:val="0"/>
              <w:adjustRightInd w:val="0"/>
            </w:pPr>
            <w:r>
              <w:t>Manganese</w:t>
            </w:r>
          </w:p>
        </w:tc>
        <w:tc>
          <w:tcPr>
            <w:tcW w:w="2681" w:type="dxa"/>
          </w:tcPr>
          <w:p w:rsidR="00C13BFC" w:rsidRDefault="00C13BFC" w:rsidP="00DE065D">
            <w:pPr>
              <w:pStyle w:val="ListBullet"/>
              <w:ind w:left="-100" w:right="-9"/>
              <w:jc w:val="center"/>
            </w:pPr>
            <w:r>
              <w:t>2.0 mg/L</w:t>
            </w:r>
          </w:p>
        </w:tc>
      </w:tr>
    </w:tbl>
    <w:p w:rsidR="00E97C63" w:rsidRDefault="00E97C63" w:rsidP="004355E0">
      <w:pPr>
        <w:widowControl w:val="0"/>
        <w:autoSpaceDE w:val="0"/>
        <w:autoSpaceDN w:val="0"/>
        <w:adjustRightInd w:val="0"/>
      </w:pPr>
    </w:p>
    <w:p w:rsidR="00E97C63" w:rsidRDefault="00E97C63" w:rsidP="00E97C6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ammonia nitrogen standard </w:t>
      </w:r>
      <w:r w:rsidR="006672E4">
        <w:t>applies</w:t>
      </w:r>
      <w:r>
        <w:t xml:space="preserve"> only to </w:t>
      </w:r>
      <w:r w:rsidR="00D73ECD">
        <w:t>discharges from facilities using</w:t>
      </w:r>
      <w:r>
        <w:t xml:space="preserve"> ammonia in wastewater treatment. </w:t>
      </w:r>
    </w:p>
    <w:p w:rsidR="009A40A3" w:rsidRDefault="009A40A3" w:rsidP="004355E0">
      <w:pPr>
        <w:widowControl w:val="0"/>
        <w:autoSpaceDE w:val="0"/>
        <w:autoSpaceDN w:val="0"/>
        <w:adjustRightInd w:val="0"/>
      </w:pPr>
    </w:p>
    <w:p w:rsidR="00E97C63" w:rsidRDefault="00E97C63" w:rsidP="00E97C6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manganese effluent limitation </w:t>
      </w:r>
      <w:r w:rsidR="006672E4">
        <w:t>applies</w:t>
      </w:r>
      <w:r>
        <w:t xml:space="preserve"> only to discharges from facilities where chemical addition is required to meet the iron or pH effluent limitations.  The upper limit of pH </w:t>
      </w:r>
      <w:r w:rsidR="006672E4">
        <w:t>must</w:t>
      </w:r>
      <w:r>
        <w:t xml:space="preserve"> be 10 for any facility unable to comply with the manganese limit at pH 9.  The manganese standard is not applicable to mine discharges associated with areas where no active mining, processing</w:t>
      </w:r>
      <w:r w:rsidR="00AA02CA">
        <w:t>,</w:t>
      </w:r>
      <w:r>
        <w:t xml:space="preserve"> or refuse disposal has taken place since May 13, 1976. </w:t>
      </w:r>
    </w:p>
    <w:p w:rsidR="009A40A3" w:rsidRDefault="009A40A3" w:rsidP="004355E0">
      <w:pPr>
        <w:widowControl w:val="0"/>
        <w:autoSpaceDE w:val="0"/>
        <w:autoSpaceDN w:val="0"/>
        <w:adjustRightInd w:val="0"/>
      </w:pPr>
    </w:p>
    <w:p w:rsidR="00E97C63" w:rsidRDefault="00E97C63" w:rsidP="00E97C6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New source coal mines </w:t>
      </w:r>
      <w:r w:rsidR="006672E4">
        <w:t>are</w:t>
      </w:r>
      <w:r>
        <w:t xml:space="preserve"> subject to a total iron limitation of 3.0 mg/</w:t>
      </w:r>
      <w:r w:rsidR="006672E4">
        <w:t>L</w:t>
      </w:r>
      <w:r>
        <w:t xml:space="preserve"> in addition to the requirements of subsection (b). </w:t>
      </w:r>
    </w:p>
    <w:p w:rsidR="00E97C63" w:rsidRDefault="00E97C63" w:rsidP="004355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7C63" w:rsidRDefault="00ED5D14" w:rsidP="00E97C6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5240F9">
        <w:t>11620</w:t>
      </w:r>
      <w:r>
        <w:t xml:space="preserve">, effective </w:t>
      </w:r>
      <w:r w:rsidR="005240F9">
        <w:t>September 25, 2019</w:t>
      </w:r>
      <w:r>
        <w:t>)</w:t>
      </w:r>
    </w:p>
    <w:sectPr w:rsidR="00E97C63" w:rsidSect="00E97C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4BE46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7C63"/>
    <w:rsid w:val="004172B4"/>
    <w:rsid w:val="004355E0"/>
    <w:rsid w:val="005240F9"/>
    <w:rsid w:val="005B5838"/>
    <w:rsid w:val="005C3366"/>
    <w:rsid w:val="006672E4"/>
    <w:rsid w:val="00757E02"/>
    <w:rsid w:val="007C0B38"/>
    <w:rsid w:val="007E144E"/>
    <w:rsid w:val="00854E54"/>
    <w:rsid w:val="009A40A3"/>
    <w:rsid w:val="00AA02CA"/>
    <w:rsid w:val="00AC198E"/>
    <w:rsid w:val="00C13BFC"/>
    <w:rsid w:val="00D04787"/>
    <w:rsid w:val="00D73ECD"/>
    <w:rsid w:val="00DE065D"/>
    <w:rsid w:val="00E97C63"/>
    <w:rsid w:val="00ED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C12327C-FB01-49C3-AFCD-902BB832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854E54"/>
    <w:pPr>
      <w:ind w:left="230" w:hanging="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406</vt:lpstr>
    </vt:vector>
  </TitlesOfParts>
  <Company>State of Illinois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406</dc:title>
  <dc:subject/>
  <dc:creator>Illinois General Assembly</dc:creator>
  <cp:keywords/>
  <dc:description/>
  <cp:lastModifiedBy>Lane, Arlene L.</cp:lastModifiedBy>
  <cp:revision>5</cp:revision>
  <cp:lastPrinted>2003-02-26T20:02:00Z</cp:lastPrinted>
  <dcterms:created xsi:type="dcterms:W3CDTF">2019-09-25T17:11:00Z</dcterms:created>
  <dcterms:modified xsi:type="dcterms:W3CDTF">2019-10-08T21:04:00Z</dcterms:modified>
</cp:coreProperties>
</file>