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C8B9" w14:textId="77777777" w:rsidR="00E54B57" w:rsidRDefault="00E54B57" w:rsidP="00E54B57">
      <w:pPr>
        <w:widowControl w:val="0"/>
        <w:autoSpaceDE w:val="0"/>
        <w:autoSpaceDN w:val="0"/>
        <w:adjustRightInd w:val="0"/>
      </w:pPr>
    </w:p>
    <w:p w14:paraId="21805A98" w14:textId="77777777" w:rsidR="00E54B57" w:rsidRDefault="00E54B57" w:rsidP="00E54B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611.733  General</w:t>
      </w:r>
      <w:proofErr w:type="gramEnd"/>
      <w:r>
        <w:rPr>
          <w:b/>
          <w:bCs/>
        </w:rPr>
        <w:t xml:space="preserve"> Monitoring and Compliance Requirements</w:t>
      </w:r>
      <w:r>
        <w:t xml:space="preserve"> </w:t>
      </w:r>
    </w:p>
    <w:p w14:paraId="54203696" w14:textId="77777777" w:rsidR="00E54B57" w:rsidRDefault="00E54B57" w:rsidP="00E54B57">
      <w:pPr>
        <w:widowControl w:val="0"/>
        <w:autoSpaceDE w:val="0"/>
        <w:autoSpaceDN w:val="0"/>
        <w:adjustRightInd w:val="0"/>
      </w:pPr>
    </w:p>
    <w:p w14:paraId="72DAE943" w14:textId="2E9298EB" w:rsidR="00E54B57" w:rsidRDefault="00E54B57" w:rsidP="00E54B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Agency may</w:t>
      </w:r>
      <w:r w:rsidR="00B70BA0">
        <w:t xml:space="preserve"> issue</w:t>
      </w:r>
      <w:r>
        <w:t xml:space="preserve"> a SEP</w:t>
      </w:r>
      <w:r w:rsidR="00B70BA0">
        <w:t xml:space="preserve"> requiring</w:t>
      </w:r>
      <w:r>
        <w:t xml:space="preserve"> more frequent monitoring than Sections 611.731 and 611.732 </w:t>
      </w:r>
      <w:r w:rsidR="00B70BA0">
        <w:t xml:space="preserve">specify </w:t>
      </w:r>
      <w:r>
        <w:t xml:space="preserve">or </w:t>
      </w:r>
      <w:r w:rsidR="00B70BA0">
        <w:t xml:space="preserve">requiring </w:t>
      </w:r>
      <w:r>
        <w:t xml:space="preserve">confirmation samples.  The </w:t>
      </w:r>
      <w:r w:rsidR="00B70BA0" w:rsidRPr="00B70BA0">
        <w:t xml:space="preserve">supplier must average the </w:t>
      </w:r>
      <w:r>
        <w:t xml:space="preserve">results of the initial and confirmation samples </w:t>
      </w:r>
      <w:r w:rsidR="00B70BA0" w:rsidRPr="00B70BA0">
        <w:t>to determine whether it complies</w:t>
      </w:r>
      <w:r>
        <w:t xml:space="preserve">. </w:t>
      </w:r>
    </w:p>
    <w:p w14:paraId="5333A833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7FC885EA" w14:textId="4FC760C8" w:rsidR="00E54B57" w:rsidRDefault="00E54B57" w:rsidP="00E54B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70BA0">
        <w:t xml:space="preserve">A </w:t>
      </w:r>
      <w:r>
        <w:t xml:space="preserve">PWS supplier must monitor at the time the Agency </w:t>
      </w:r>
      <w:r w:rsidR="00B70BA0">
        <w:t xml:space="preserve">designates </w:t>
      </w:r>
      <w:r>
        <w:t xml:space="preserve">during each compliance period. </w:t>
      </w:r>
    </w:p>
    <w:p w14:paraId="4AC65699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35F4F756" w14:textId="28E5B86F" w:rsidR="00E54B57" w:rsidRDefault="00E54B57" w:rsidP="00E54B5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Compliance</w:t>
      </w:r>
      <w:r w:rsidR="00B41F4E">
        <w:t>.</w:t>
      </w:r>
      <w:r>
        <w:t xml:space="preserve">  </w:t>
      </w:r>
      <w:r w:rsidR="00B70BA0" w:rsidRPr="00B70BA0">
        <w:t xml:space="preserve">A supplier must determine whether it complies </w:t>
      </w:r>
      <w:r>
        <w:t xml:space="preserve">with Section 611.330(b) through (e) based on the analytical results </w:t>
      </w:r>
      <w:r w:rsidR="00B70BA0">
        <w:t xml:space="preserve">it obtains </w:t>
      </w:r>
      <w:r>
        <w:t xml:space="preserve">at each sampling point.  If one sampling point </w:t>
      </w:r>
      <w:r w:rsidR="00B70BA0">
        <w:t xml:space="preserve">violates </w:t>
      </w:r>
      <w:r>
        <w:t xml:space="preserve">an MCL, the supplier </w:t>
      </w:r>
      <w:r w:rsidR="00B70BA0">
        <w:t xml:space="preserve">violates </w:t>
      </w:r>
      <w:r>
        <w:t xml:space="preserve">the MCL. </w:t>
      </w:r>
    </w:p>
    <w:p w14:paraId="11C16A39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4414C73A" w14:textId="030ECFD8" w:rsidR="00E54B57" w:rsidRDefault="00E54B57" w:rsidP="00E54B5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70BA0">
        <w:t xml:space="preserve">A </w:t>
      </w:r>
      <w:r>
        <w:t>supplier monitoring more than once per year</w:t>
      </w:r>
      <w:r w:rsidR="00B70BA0" w:rsidRPr="00B70BA0">
        <w:rPr>
          <w:szCs w:val="20"/>
          <w:u w:val="single"/>
        </w:rPr>
        <w:t xml:space="preserve"> </w:t>
      </w:r>
      <w:r w:rsidR="00B70BA0" w:rsidRPr="004A5C14">
        <w:t>must run an annual average at each sampling point to determine whether it complies</w:t>
      </w:r>
      <w:r>
        <w:t xml:space="preserve"> with the MCL.  If the average of any sampling point is greater than the MCL, the supplier </w:t>
      </w:r>
      <w:r w:rsidR="00B70BA0">
        <w:t xml:space="preserve">does not comply </w:t>
      </w:r>
      <w:r>
        <w:t xml:space="preserve">with the MCL. </w:t>
      </w:r>
    </w:p>
    <w:p w14:paraId="6C2BD096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67EE067F" w14:textId="01FB46A8" w:rsidR="00E54B57" w:rsidRDefault="00E54B57" w:rsidP="00E54B5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70BA0">
        <w:t xml:space="preserve">A </w:t>
      </w:r>
      <w:r>
        <w:t>supplier monitoring more than once per year</w:t>
      </w:r>
      <w:r w:rsidR="00B70BA0" w:rsidRPr="004A5C14">
        <w:rPr>
          <w:szCs w:val="20"/>
        </w:rPr>
        <w:t xml:space="preserve"> </w:t>
      </w:r>
      <w:r w:rsidR="00B70BA0" w:rsidRPr="004A5C14">
        <w:t>immediately does not comply with an MCL</w:t>
      </w:r>
      <w:r w:rsidRPr="004A5C14">
        <w:t xml:space="preserve"> i</w:t>
      </w:r>
      <w:r>
        <w:t xml:space="preserve">f any sample result would cause the running average to exceed the MCL at any single sampling point. </w:t>
      </w:r>
    </w:p>
    <w:p w14:paraId="317C27A7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030A12A1" w14:textId="56A9D483" w:rsidR="00E54B57" w:rsidRDefault="00E54B57" w:rsidP="00E54B5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E04D5">
        <w:t>A</w:t>
      </w:r>
      <w:r>
        <w:t xml:space="preserve"> supplier must include all samples </w:t>
      </w:r>
      <w:r w:rsidR="00B70BA0" w:rsidRPr="004A5C14">
        <w:t xml:space="preserve">it takes and analyzes </w:t>
      </w:r>
      <w:r w:rsidRPr="004A5C14">
        <w:t xml:space="preserve">under </w:t>
      </w:r>
      <w:r w:rsidR="008E04D5" w:rsidRPr="004A5C14">
        <w:t>this Section</w:t>
      </w:r>
      <w:r w:rsidRPr="004A5C14">
        <w:t xml:space="preserve"> and Sections 611.731 and 611.732</w:t>
      </w:r>
      <w:r w:rsidR="0081470A" w:rsidRPr="004A5C14">
        <w:t xml:space="preserve"> to determine whether it complies</w:t>
      </w:r>
      <w:r w:rsidRPr="004A5C14">
        <w:t>, even if that number is greater than</w:t>
      </w:r>
      <w:r>
        <w:t xml:space="preserve"> the </w:t>
      </w:r>
      <w:r w:rsidR="0081470A">
        <w:t xml:space="preserve">required </w:t>
      </w:r>
      <w:r>
        <w:t xml:space="preserve">minimum. </w:t>
      </w:r>
    </w:p>
    <w:p w14:paraId="34795F9D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2F55DB90" w14:textId="0B3E68B2" w:rsidR="00E54B57" w:rsidRDefault="00E54B57" w:rsidP="00E54B5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 supplier does not collect all required samples </w:t>
      </w:r>
      <w:r w:rsidR="0081470A">
        <w:t xml:space="preserve">to determine its </w:t>
      </w:r>
      <w:r>
        <w:t xml:space="preserve">compliance based on a running annual average of quarterly samples, </w:t>
      </w:r>
      <w:r w:rsidR="0081470A" w:rsidRPr="004A5C14">
        <w:t xml:space="preserve">the supplier must determine whether it complies </w:t>
      </w:r>
      <w:r w:rsidRPr="004A5C14">
        <w:t>based on the running a</w:t>
      </w:r>
      <w:r>
        <w:t xml:space="preserve">verage of the samples </w:t>
      </w:r>
      <w:r w:rsidR="0081470A">
        <w:t xml:space="preserve">it </w:t>
      </w:r>
      <w:r>
        <w:t xml:space="preserve">collected. </w:t>
      </w:r>
    </w:p>
    <w:p w14:paraId="0BD4DF69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008B6630" w14:textId="0F1B4A5D" w:rsidR="00E54B57" w:rsidRDefault="00E54B57" w:rsidP="00E54B5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If a sample result is less than the detectio</w:t>
      </w:r>
      <w:r w:rsidRPr="004A5C14">
        <w:t xml:space="preserve">n limit, </w:t>
      </w:r>
      <w:r w:rsidR="0081470A" w:rsidRPr="004A5C14">
        <w:t xml:space="preserve">the supplier must use </w:t>
      </w:r>
      <w:r w:rsidRPr="004A5C14">
        <w:t xml:space="preserve">zero to calculate the annual average, unless </w:t>
      </w:r>
      <w:r w:rsidR="0081470A" w:rsidRPr="004A5C14">
        <w:t xml:space="preserve">the supplier uses </w:t>
      </w:r>
      <w:r w:rsidRPr="004A5C14">
        <w:t>a gross alpha particle activity in lieu of radium-226 or uraniu</w:t>
      </w:r>
      <w:r>
        <w:t xml:space="preserve">m.  If the gross alpha particle activity result is less than </w:t>
      </w:r>
      <w:r w:rsidR="0081470A">
        <w:t xml:space="preserve">the </w:t>
      </w:r>
      <w:r>
        <w:t>detection</w:t>
      </w:r>
      <w:r w:rsidR="0081470A">
        <w:t xml:space="preserve"> limit</w:t>
      </w:r>
      <w:r>
        <w:t xml:space="preserve">, </w:t>
      </w:r>
      <w:r w:rsidR="0081470A">
        <w:t xml:space="preserve">the supplier must use </w:t>
      </w:r>
      <w:r>
        <w:t xml:space="preserve">one-half the detection limit to calculate the annual average. </w:t>
      </w:r>
    </w:p>
    <w:p w14:paraId="7EDBE4E6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54E944DD" w14:textId="21C2B8F8" w:rsidR="00E54B57" w:rsidRDefault="00E54B57" w:rsidP="00E54B5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Agency may</w:t>
      </w:r>
      <w:r w:rsidR="0081470A">
        <w:t xml:space="preserve"> issue</w:t>
      </w:r>
      <w:r>
        <w:t xml:space="preserve"> a SEP</w:t>
      </w:r>
      <w:r w:rsidR="0081470A">
        <w:t xml:space="preserve"> allowing</w:t>
      </w:r>
      <w:r>
        <w:t xml:space="preserve"> the supplier to delete results of obvious sampling or analytic errors. </w:t>
      </w:r>
    </w:p>
    <w:p w14:paraId="1403BAAA" w14:textId="77777777" w:rsidR="0050297B" w:rsidRDefault="0050297B" w:rsidP="00CC2A84">
      <w:pPr>
        <w:widowControl w:val="0"/>
        <w:autoSpaceDE w:val="0"/>
        <w:autoSpaceDN w:val="0"/>
        <w:adjustRightInd w:val="0"/>
      </w:pPr>
    </w:p>
    <w:p w14:paraId="6E1CC035" w14:textId="609C967C" w:rsidR="00E54B57" w:rsidRDefault="00E54B57" w:rsidP="00E54B5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81470A" w:rsidRPr="004A5C14">
        <w:t xml:space="preserve">A CWS supplier exceeding </w:t>
      </w:r>
      <w:r w:rsidRPr="004A5C14">
        <w:t xml:space="preserve">the MCL for </w:t>
      </w:r>
      <w:r w:rsidR="0081470A" w:rsidRPr="004A5C14">
        <w:t xml:space="preserve">a radioactive contaminant </w:t>
      </w:r>
      <w:r>
        <w:t xml:space="preserve">in Section </w:t>
      </w:r>
      <w:r w:rsidR="0081470A">
        <w:t xml:space="preserve">611.330(b) </w:t>
      </w:r>
      <w:r>
        <w:t xml:space="preserve">through (e) must </w:t>
      </w:r>
      <w:r w:rsidR="0081470A">
        <w:t xml:space="preserve">notify </w:t>
      </w:r>
      <w:r>
        <w:t xml:space="preserve">the Agency </w:t>
      </w:r>
      <w:r w:rsidR="00BD0564">
        <w:t>under</w:t>
      </w:r>
      <w:r>
        <w:t xml:space="preserve"> Section 611.840 and the public</w:t>
      </w:r>
      <w:r w:rsidR="0081470A">
        <w:t xml:space="preserve"> under</w:t>
      </w:r>
      <w:r>
        <w:t xml:space="preserve"> Subpart V. </w:t>
      </w:r>
    </w:p>
    <w:p w14:paraId="600690C9" w14:textId="77777777" w:rsidR="0050297B" w:rsidRDefault="0050297B" w:rsidP="00E54B57">
      <w:pPr>
        <w:widowControl w:val="0"/>
        <w:autoSpaceDE w:val="0"/>
        <w:autoSpaceDN w:val="0"/>
        <w:adjustRightInd w:val="0"/>
      </w:pPr>
    </w:p>
    <w:p w14:paraId="76ED5FA2" w14:textId="72460A41" w:rsidR="00E54B57" w:rsidRDefault="00E54B57" w:rsidP="0081470A">
      <w:pPr>
        <w:widowControl w:val="0"/>
        <w:autoSpaceDE w:val="0"/>
        <w:autoSpaceDN w:val="0"/>
        <w:adjustRightInd w:val="0"/>
      </w:pPr>
      <w:r>
        <w:lastRenderedPageBreak/>
        <w:t xml:space="preserve">BOARD NOTE:  </w:t>
      </w:r>
      <w:r w:rsidR="0081470A">
        <w:t xml:space="preserve">This Section derives </w:t>
      </w:r>
      <w:r>
        <w:t xml:space="preserve">from 40 CFR 141.26(c). </w:t>
      </w:r>
    </w:p>
    <w:p w14:paraId="0B7ACA48" w14:textId="77777777" w:rsidR="00E54B57" w:rsidRDefault="00E54B57" w:rsidP="00E54B57">
      <w:pPr>
        <w:widowControl w:val="0"/>
        <w:autoSpaceDE w:val="0"/>
        <w:autoSpaceDN w:val="0"/>
        <w:adjustRightInd w:val="0"/>
      </w:pPr>
    </w:p>
    <w:p w14:paraId="00AEEC86" w14:textId="78CA9DBE" w:rsidR="008D502B" w:rsidRDefault="0081470A" w:rsidP="008D502B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67A8A">
        <w:t>16486</w:t>
      </w:r>
      <w:r w:rsidRPr="00FD1AD2">
        <w:t xml:space="preserve">, effective </w:t>
      </w:r>
      <w:r w:rsidR="00C67A8A">
        <w:t>November 2, 2023</w:t>
      </w:r>
      <w:r w:rsidRPr="00FD1AD2">
        <w:t>)</w:t>
      </w:r>
    </w:p>
    <w:sectPr w:rsidR="008D502B" w:rsidSect="00E54B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B57"/>
    <w:rsid w:val="00036CB5"/>
    <w:rsid w:val="000525A3"/>
    <w:rsid w:val="00100156"/>
    <w:rsid w:val="0011013E"/>
    <w:rsid w:val="00113C4F"/>
    <w:rsid w:val="001A7928"/>
    <w:rsid w:val="00370521"/>
    <w:rsid w:val="00386FE1"/>
    <w:rsid w:val="004A1534"/>
    <w:rsid w:val="004A5C14"/>
    <w:rsid w:val="0050297B"/>
    <w:rsid w:val="00556F4D"/>
    <w:rsid w:val="00561E8C"/>
    <w:rsid w:val="005C3366"/>
    <w:rsid w:val="005E259B"/>
    <w:rsid w:val="0062208B"/>
    <w:rsid w:val="0065176C"/>
    <w:rsid w:val="006707CC"/>
    <w:rsid w:val="006C317B"/>
    <w:rsid w:val="00724DBE"/>
    <w:rsid w:val="00745D38"/>
    <w:rsid w:val="007D3E4F"/>
    <w:rsid w:val="0081470A"/>
    <w:rsid w:val="008D502B"/>
    <w:rsid w:val="008E04D5"/>
    <w:rsid w:val="00B14DE1"/>
    <w:rsid w:val="00B41F4E"/>
    <w:rsid w:val="00B70BA0"/>
    <w:rsid w:val="00BD0564"/>
    <w:rsid w:val="00C67A8A"/>
    <w:rsid w:val="00CC2A84"/>
    <w:rsid w:val="00E2546E"/>
    <w:rsid w:val="00E54B57"/>
    <w:rsid w:val="00EA1B76"/>
    <w:rsid w:val="00EE1FEE"/>
    <w:rsid w:val="00F017DD"/>
    <w:rsid w:val="00F40115"/>
    <w:rsid w:val="00F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69E244"/>
  <w15:docId w15:val="{4EA6E115-E6E2-4BC8-8381-D2E15BD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2023-11-17T14:00:00Z</dcterms:created>
  <dcterms:modified xsi:type="dcterms:W3CDTF">2023-11-17T17:51:00Z</dcterms:modified>
</cp:coreProperties>
</file>